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54" w:rsidRPr="0032700F" w:rsidRDefault="00B74054" w:rsidP="000305EF">
      <w:pPr>
        <w:spacing w:line="480" w:lineRule="auto"/>
        <w:ind w:firstLine="540"/>
        <w:jc w:val="center"/>
        <w:rPr>
          <w:rFonts w:ascii="Times New Roman" w:hAnsi="Times New Roman" w:cs="Times New Roman"/>
          <w:color w:val="000000"/>
        </w:rPr>
      </w:pPr>
      <w:bookmarkStart w:id="0" w:name="_GoBack"/>
      <w:bookmarkEnd w:id="0"/>
    </w:p>
    <w:p w:rsidR="005B397A" w:rsidRPr="0032700F" w:rsidRDefault="005B397A" w:rsidP="000305EF">
      <w:pPr>
        <w:spacing w:line="480" w:lineRule="auto"/>
        <w:ind w:firstLine="540"/>
        <w:jc w:val="center"/>
        <w:rPr>
          <w:rFonts w:ascii="Times New Roman" w:hAnsi="Times New Roman" w:cs="Times New Roman"/>
          <w:color w:val="000000"/>
        </w:rPr>
      </w:pPr>
    </w:p>
    <w:p w:rsidR="005B397A" w:rsidRPr="0032700F" w:rsidRDefault="005B397A" w:rsidP="000305EF">
      <w:pPr>
        <w:spacing w:line="480" w:lineRule="auto"/>
        <w:ind w:firstLine="540"/>
        <w:jc w:val="center"/>
        <w:rPr>
          <w:rFonts w:ascii="Times New Roman" w:hAnsi="Times New Roman" w:cs="Times New Roman"/>
          <w:color w:val="000000"/>
        </w:rPr>
      </w:pPr>
    </w:p>
    <w:p w:rsidR="005B397A" w:rsidRPr="0032700F" w:rsidRDefault="005B397A" w:rsidP="000305EF">
      <w:pPr>
        <w:spacing w:line="480" w:lineRule="auto"/>
        <w:ind w:firstLine="540"/>
        <w:jc w:val="center"/>
        <w:rPr>
          <w:rFonts w:ascii="Times New Roman" w:hAnsi="Times New Roman" w:cs="Times New Roman"/>
          <w:color w:val="000000"/>
        </w:rPr>
      </w:pPr>
    </w:p>
    <w:p w:rsidR="005B397A" w:rsidRPr="0032700F" w:rsidRDefault="005B397A" w:rsidP="000305EF">
      <w:pPr>
        <w:spacing w:line="480" w:lineRule="auto"/>
        <w:ind w:firstLine="540"/>
        <w:jc w:val="center"/>
        <w:rPr>
          <w:rFonts w:ascii="Times New Roman" w:hAnsi="Times New Roman" w:cs="Times New Roman"/>
          <w:color w:val="000000"/>
        </w:rPr>
      </w:pPr>
    </w:p>
    <w:p w:rsidR="00B74054" w:rsidRPr="0032700F" w:rsidRDefault="00B74054" w:rsidP="000305EF">
      <w:pPr>
        <w:spacing w:line="480" w:lineRule="auto"/>
        <w:ind w:firstLine="540"/>
        <w:jc w:val="center"/>
        <w:rPr>
          <w:rFonts w:ascii="Times New Roman" w:hAnsi="Times New Roman" w:cs="Times New Roman"/>
          <w:color w:val="000000"/>
        </w:rPr>
      </w:pPr>
      <w:r w:rsidRPr="0032700F">
        <w:rPr>
          <w:rFonts w:ascii="Times New Roman" w:hAnsi="Times New Roman" w:cs="Times New Roman"/>
          <w:color w:val="000000"/>
        </w:rPr>
        <w:t xml:space="preserve">Intentional Design of Graduate Assistantships as </w:t>
      </w:r>
    </w:p>
    <w:p w:rsidR="0032700F" w:rsidRDefault="00B74054" w:rsidP="000305EF">
      <w:pPr>
        <w:spacing w:line="480" w:lineRule="auto"/>
        <w:ind w:firstLine="540"/>
        <w:jc w:val="center"/>
        <w:rPr>
          <w:rFonts w:ascii="Times New Roman" w:hAnsi="Times New Roman" w:cs="Times New Roman"/>
          <w:color w:val="000000"/>
        </w:rPr>
      </w:pPr>
      <w:r w:rsidRPr="0032700F">
        <w:rPr>
          <w:rFonts w:ascii="Times New Roman" w:hAnsi="Times New Roman" w:cs="Times New Roman"/>
          <w:color w:val="000000"/>
        </w:rPr>
        <w:t>Learning Experiences for Competency Development</w:t>
      </w:r>
      <w:r w:rsidR="0032700F">
        <w:rPr>
          <w:rFonts w:ascii="Times New Roman" w:hAnsi="Times New Roman" w:cs="Times New Roman"/>
          <w:color w:val="000000"/>
        </w:rPr>
        <w:t xml:space="preserve">: </w:t>
      </w:r>
    </w:p>
    <w:p w:rsidR="0032700F" w:rsidRDefault="0032700F" w:rsidP="000305EF">
      <w:pPr>
        <w:spacing w:line="480" w:lineRule="auto"/>
        <w:ind w:firstLine="540"/>
        <w:jc w:val="center"/>
        <w:rPr>
          <w:rFonts w:ascii="Times New Roman" w:hAnsi="Times New Roman" w:cs="Times New Roman"/>
          <w:color w:val="000000"/>
        </w:rPr>
      </w:pPr>
      <w:r>
        <w:rPr>
          <w:rFonts w:ascii="Times New Roman" w:hAnsi="Times New Roman" w:cs="Times New Roman"/>
          <w:color w:val="000000"/>
        </w:rPr>
        <w:t xml:space="preserve">A Content Analysis of Graduate Assistantship Postings in the </w:t>
      </w:r>
    </w:p>
    <w:p w:rsidR="005B397A" w:rsidRPr="0032700F" w:rsidRDefault="0032700F" w:rsidP="000305EF">
      <w:pPr>
        <w:spacing w:line="480" w:lineRule="auto"/>
        <w:ind w:firstLine="540"/>
        <w:jc w:val="center"/>
        <w:rPr>
          <w:rFonts w:ascii="Times New Roman" w:hAnsi="Times New Roman" w:cs="Times New Roman"/>
          <w:color w:val="000000"/>
        </w:rPr>
      </w:pPr>
      <w:r>
        <w:rPr>
          <w:rFonts w:ascii="Times New Roman" w:hAnsi="Times New Roman" w:cs="Times New Roman"/>
          <w:color w:val="000000"/>
        </w:rPr>
        <w:t>Field of Collegiate Recreation</w:t>
      </w:r>
      <w:r w:rsidR="00B74054" w:rsidRPr="0032700F">
        <w:rPr>
          <w:rFonts w:ascii="Times New Roman" w:hAnsi="Times New Roman" w:cs="Times New Roman"/>
          <w:color w:val="000000"/>
        </w:rPr>
        <w:t xml:space="preserve"> </w:t>
      </w:r>
    </w:p>
    <w:p w:rsidR="005B397A" w:rsidRPr="0032700F" w:rsidRDefault="005B397A" w:rsidP="000305EF">
      <w:pPr>
        <w:spacing w:line="480" w:lineRule="auto"/>
        <w:ind w:firstLine="540"/>
        <w:jc w:val="center"/>
        <w:rPr>
          <w:rFonts w:ascii="Times New Roman" w:hAnsi="Times New Roman" w:cs="Times New Roman"/>
          <w:color w:val="000000"/>
        </w:rPr>
      </w:pPr>
      <w:r w:rsidRPr="0032700F">
        <w:rPr>
          <w:rFonts w:ascii="Times New Roman" w:hAnsi="Times New Roman" w:cs="Times New Roman"/>
          <w:color w:val="000000"/>
        </w:rPr>
        <w:t>Mark Hoying, Corrine Daprano and Peter Titlebaum</w:t>
      </w:r>
    </w:p>
    <w:p w:rsidR="00B74054" w:rsidRPr="0032700F" w:rsidRDefault="005B397A" w:rsidP="000305EF">
      <w:pPr>
        <w:spacing w:line="480" w:lineRule="auto"/>
        <w:ind w:firstLine="540"/>
        <w:jc w:val="center"/>
        <w:rPr>
          <w:rFonts w:ascii="Times New Roman" w:hAnsi="Times New Roman" w:cs="Times New Roman"/>
          <w:color w:val="000000"/>
        </w:rPr>
      </w:pPr>
      <w:r w:rsidRPr="0032700F">
        <w:rPr>
          <w:rFonts w:ascii="Times New Roman" w:hAnsi="Times New Roman" w:cs="Times New Roman"/>
          <w:color w:val="000000"/>
        </w:rPr>
        <w:t xml:space="preserve">University of Dayton </w:t>
      </w:r>
    </w:p>
    <w:p w:rsidR="00836153" w:rsidRPr="0032700F" w:rsidRDefault="00836153" w:rsidP="000305EF">
      <w:pPr>
        <w:spacing w:line="480" w:lineRule="auto"/>
        <w:ind w:firstLine="540"/>
        <w:jc w:val="center"/>
        <w:rPr>
          <w:rFonts w:ascii="Times New Roman" w:hAnsi="Times New Roman" w:cs="Times New Roman"/>
          <w:color w:val="000000"/>
        </w:rPr>
      </w:pPr>
    </w:p>
    <w:p w:rsidR="00836153" w:rsidRPr="0032700F" w:rsidRDefault="00836153" w:rsidP="000305EF">
      <w:pPr>
        <w:spacing w:line="480" w:lineRule="auto"/>
        <w:ind w:firstLine="540"/>
        <w:jc w:val="center"/>
        <w:rPr>
          <w:rFonts w:ascii="Times New Roman" w:hAnsi="Times New Roman" w:cs="Times New Roman"/>
          <w:color w:val="000000"/>
        </w:rPr>
      </w:pPr>
    </w:p>
    <w:p w:rsidR="00836153" w:rsidRPr="0032700F" w:rsidRDefault="00836153" w:rsidP="000305EF">
      <w:pPr>
        <w:spacing w:line="480" w:lineRule="auto"/>
        <w:ind w:firstLine="540"/>
        <w:jc w:val="center"/>
        <w:rPr>
          <w:rFonts w:ascii="Times New Roman" w:hAnsi="Times New Roman" w:cs="Times New Roman"/>
          <w:color w:val="000000"/>
        </w:rPr>
      </w:pPr>
    </w:p>
    <w:p w:rsidR="00836153" w:rsidRPr="0032700F" w:rsidRDefault="0032700F" w:rsidP="000305EF">
      <w:pPr>
        <w:spacing w:line="480" w:lineRule="auto"/>
        <w:ind w:firstLine="540"/>
        <w:jc w:val="center"/>
        <w:rPr>
          <w:rFonts w:ascii="Times New Roman" w:hAnsi="Times New Roman" w:cs="Times New Roman"/>
          <w:color w:val="000000"/>
        </w:rPr>
      </w:pPr>
      <w:r>
        <w:rPr>
          <w:rFonts w:ascii="Times New Roman" w:hAnsi="Times New Roman" w:cs="Times New Roman"/>
          <w:color w:val="000000"/>
        </w:rPr>
        <w:t>A</w:t>
      </w:r>
      <w:r w:rsidR="00836153" w:rsidRPr="0032700F">
        <w:rPr>
          <w:rFonts w:ascii="Times New Roman" w:hAnsi="Times New Roman" w:cs="Times New Roman"/>
          <w:color w:val="000000"/>
        </w:rPr>
        <w:t>uthor Note</w:t>
      </w:r>
    </w:p>
    <w:p w:rsidR="00836153" w:rsidRPr="0032700F" w:rsidRDefault="00836153" w:rsidP="00836153">
      <w:pPr>
        <w:spacing w:line="480" w:lineRule="auto"/>
        <w:ind w:firstLine="547"/>
        <w:rPr>
          <w:rFonts w:ascii="Times New Roman" w:hAnsi="Times New Roman" w:cs="Times New Roman"/>
          <w:color w:val="000000"/>
        </w:rPr>
      </w:pPr>
      <w:r w:rsidRPr="0032700F">
        <w:rPr>
          <w:rFonts w:ascii="Times New Roman" w:hAnsi="Times New Roman" w:cs="Times New Roman"/>
          <w:color w:val="000000"/>
        </w:rPr>
        <w:tab/>
        <w:t>Mark Hoying, Campus Recreation, University of Dayton; Corrine Daprano, Health and Sport Science, University of Dayton; Peter Titlebaum, Health and Sport Science, University of Dayton.</w:t>
      </w:r>
    </w:p>
    <w:p w:rsidR="00150D71" w:rsidRPr="0032700F" w:rsidRDefault="00F325FE" w:rsidP="00836153">
      <w:pPr>
        <w:spacing w:line="480" w:lineRule="auto"/>
        <w:ind w:firstLine="547"/>
        <w:rPr>
          <w:rFonts w:ascii="Times New Roman" w:hAnsi="Times New Roman" w:cs="Times New Roman"/>
          <w:color w:val="000000"/>
        </w:rPr>
      </w:pPr>
      <w:r w:rsidRPr="0032700F">
        <w:rPr>
          <w:rFonts w:ascii="Times New Roman" w:hAnsi="Times New Roman" w:cs="Times New Roman"/>
          <w:color w:val="000000"/>
        </w:rPr>
        <w:t>Correspondence</w:t>
      </w:r>
      <w:r w:rsidR="00836153" w:rsidRPr="0032700F">
        <w:rPr>
          <w:rFonts w:ascii="Times New Roman" w:hAnsi="Times New Roman" w:cs="Times New Roman"/>
          <w:color w:val="000000"/>
        </w:rPr>
        <w:t xml:space="preserve"> concerning this article should be addressed to Mark Hoying, University of Dayton, Campus Recreation , Dayton, OH 45469-0790. Email: </w:t>
      </w:r>
      <w:hyperlink r:id="rId8" w:history="1">
        <w:r w:rsidR="00221093" w:rsidRPr="0032700F">
          <w:rPr>
            <w:rStyle w:val="Hyperlink"/>
            <w:rFonts w:ascii="Times New Roman" w:hAnsi="Times New Roman" w:cs="Times New Roman"/>
          </w:rPr>
          <w:t>mhoying1@udayton.edu</w:t>
        </w:r>
      </w:hyperlink>
      <w:r w:rsidR="00221093" w:rsidRPr="0032700F">
        <w:rPr>
          <w:rFonts w:ascii="Times New Roman" w:hAnsi="Times New Roman" w:cs="Times New Roman"/>
          <w:color w:val="000000"/>
        </w:rPr>
        <w:t xml:space="preserve">. </w:t>
      </w:r>
    </w:p>
    <w:p w:rsidR="00221093" w:rsidRPr="0032700F" w:rsidRDefault="009A26D9" w:rsidP="00836153">
      <w:pPr>
        <w:spacing w:line="480" w:lineRule="auto"/>
        <w:ind w:firstLine="547"/>
        <w:rPr>
          <w:rFonts w:ascii="Times New Roman" w:hAnsi="Times New Roman" w:cs="Times New Roman"/>
          <w:color w:val="000000"/>
        </w:rPr>
      </w:pPr>
      <w:r w:rsidRPr="0032700F">
        <w:rPr>
          <w:rFonts w:ascii="Times New Roman" w:hAnsi="Times New Roman" w:cs="Times New Roman"/>
          <w:color w:val="000000"/>
        </w:rPr>
        <w:t xml:space="preserve">This work was conducted with support from NIRSA, Leaders in Collegiate Recreation who provided </w:t>
      </w:r>
      <w:r w:rsidR="00930DC8" w:rsidRPr="0032700F">
        <w:rPr>
          <w:rFonts w:ascii="Times New Roman" w:hAnsi="Times New Roman" w:cs="Times New Roman"/>
          <w:color w:val="000000"/>
        </w:rPr>
        <w:t xml:space="preserve">access to the position descriptions which were analyzed in this study. </w:t>
      </w:r>
    </w:p>
    <w:p w:rsidR="007167D9" w:rsidRPr="0032700F" w:rsidRDefault="00221093" w:rsidP="0032700F">
      <w:pPr>
        <w:spacing w:line="480" w:lineRule="auto"/>
        <w:ind w:firstLine="547"/>
        <w:jc w:val="center"/>
        <w:rPr>
          <w:rFonts w:ascii="Times New Roman" w:hAnsi="Times New Roman" w:cs="Times New Roman"/>
          <w:color w:val="000000"/>
        </w:rPr>
      </w:pPr>
      <w:r w:rsidRPr="0032700F">
        <w:rPr>
          <w:rFonts w:ascii="Times New Roman" w:hAnsi="Times New Roman" w:cs="Times New Roman"/>
          <w:color w:val="000000"/>
        </w:rPr>
        <w:br w:type="page"/>
      </w:r>
    </w:p>
    <w:p w:rsidR="00930DC8" w:rsidRPr="0032700F" w:rsidRDefault="00B2249E" w:rsidP="004B09B6">
      <w:pPr>
        <w:spacing w:line="480" w:lineRule="auto"/>
        <w:ind w:firstLine="547"/>
        <w:rPr>
          <w:rFonts w:ascii="Times New Roman" w:hAnsi="Times New Roman" w:cs="Times New Roman"/>
          <w:color w:val="000000"/>
        </w:rPr>
      </w:pPr>
      <w:r w:rsidRPr="0032700F">
        <w:rPr>
          <w:rFonts w:ascii="Times New Roman" w:hAnsi="Times New Roman" w:cs="Times New Roman"/>
          <w:color w:val="000000"/>
        </w:rPr>
        <w:lastRenderedPageBreak/>
        <w:t>If asked to describe the most</w:t>
      </w:r>
      <w:r w:rsidR="00930DC8" w:rsidRPr="0032700F">
        <w:rPr>
          <w:rFonts w:ascii="Times New Roman" w:hAnsi="Times New Roman" w:cs="Times New Roman"/>
          <w:color w:val="000000"/>
        </w:rPr>
        <w:t xml:space="preserve"> basic requirement for an entry-</w:t>
      </w:r>
      <w:r w:rsidRPr="0032700F">
        <w:rPr>
          <w:rFonts w:ascii="Times New Roman" w:hAnsi="Times New Roman" w:cs="Times New Roman"/>
          <w:color w:val="000000"/>
        </w:rPr>
        <w:t>level professional position in the field of collegiate recreation, many would start with a statement such as: “Two years of experience and a masters degree in a related field.”   Certainly, there are exceptions to this industry standard but to confidently search for employment in this increasingly professional field an individual needs not only the academic degree, but two ye</w:t>
      </w:r>
      <w:r w:rsidR="00150D71" w:rsidRPr="0032700F">
        <w:rPr>
          <w:rFonts w:ascii="Times New Roman" w:hAnsi="Times New Roman" w:cs="Times New Roman"/>
          <w:color w:val="000000"/>
        </w:rPr>
        <w:t xml:space="preserve">ars of work experience in the field as well. </w:t>
      </w:r>
      <w:r w:rsidR="00F920ED" w:rsidRPr="0032700F">
        <w:rPr>
          <w:rFonts w:ascii="Times New Roman" w:hAnsi="Times New Roman" w:cs="Times New Roman"/>
          <w:color w:val="000000"/>
        </w:rPr>
        <w:t>One</w:t>
      </w:r>
      <w:r w:rsidR="00150D71" w:rsidRPr="0032700F">
        <w:rPr>
          <w:rFonts w:ascii="Times New Roman" w:hAnsi="Times New Roman" w:cs="Times New Roman"/>
          <w:color w:val="000000"/>
        </w:rPr>
        <w:t xml:space="preserve"> could go about gaining both work experience and a relevant master’s degree in a number of different wa</w:t>
      </w:r>
      <w:r w:rsidR="00F920ED" w:rsidRPr="0032700F">
        <w:rPr>
          <w:rFonts w:ascii="Times New Roman" w:hAnsi="Times New Roman" w:cs="Times New Roman"/>
          <w:color w:val="000000"/>
        </w:rPr>
        <w:t xml:space="preserve">ys (internships for example).  However, the </w:t>
      </w:r>
      <w:r w:rsidR="00150D71" w:rsidRPr="0032700F">
        <w:rPr>
          <w:rFonts w:ascii="Times New Roman" w:hAnsi="Times New Roman" w:cs="Times New Roman"/>
          <w:color w:val="000000"/>
        </w:rPr>
        <w:t>common path is to complete a two year graduate assistantship which nicely pairs paraprofessional work experience in a recreation department with a degree at the same university in a related field. Structurally, this seems to be an ideal development syst</w:t>
      </w:r>
      <w:r w:rsidR="00930DC8" w:rsidRPr="0032700F">
        <w:rPr>
          <w:rFonts w:ascii="Times New Roman" w:hAnsi="Times New Roman" w:cs="Times New Roman"/>
          <w:color w:val="000000"/>
        </w:rPr>
        <w:t>em for burgeoning professionals.  This study examines the extent in which these assistantships are intentionally designed in conjunction with the graduate student’s degree program to provide development opportunity in each of the eight professional competencies as defined by NIRSA (</w:t>
      </w:r>
      <w:r w:rsidR="00265223" w:rsidRPr="0032700F">
        <w:rPr>
          <w:rFonts w:ascii="Times New Roman" w:hAnsi="Times New Roman" w:cs="Times New Roman"/>
          <w:color w:val="000000"/>
        </w:rPr>
        <w:t>Core Competencies (NIRSA)).</w:t>
      </w:r>
    </w:p>
    <w:p w:rsidR="00221093" w:rsidRPr="0032700F" w:rsidRDefault="00CD5277" w:rsidP="00221093">
      <w:pPr>
        <w:spacing w:line="480" w:lineRule="auto"/>
        <w:rPr>
          <w:rFonts w:ascii="Times New Roman" w:hAnsi="Times New Roman" w:cs="Times New Roman"/>
          <w:color w:val="000000"/>
        </w:rPr>
      </w:pPr>
      <w:r w:rsidRPr="0032700F">
        <w:rPr>
          <w:rFonts w:ascii="Times New Roman" w:hAnsi="Times New Roman" w:cs="Times New Roman"/>
          <w:color w:val="000000"/>
        </w:rPr>
        <w:tab/>
      </w:r>
      <w:r w:rsidR="004B09B6" w:rsidRPr="0032700F">
        <w:rPr>
          <w:rFonts w:ascii="Times New Roman" w:hAnsi="Times New Roman" w:cs="Times New Roman"/>
          <w:color w:val="000000"/>
        </w:rPr>
        <w:t>T</w:t>
      </w:r>
      <w:r w:rsidRPr="0032700F">
        <w:rPr>
          <w:rFonts w:ascii="Times New Roman" w:hAnsi="Times New Roman" w:cs="Times New Roman"/>
          <w:color w:val="000000"/>
        </w:rPr>
        <w:t>he dual</w:t>
      </w:r>
      <w:r w:rsidR="004B09B6" w:rsidRPr="0032700F">
        <w:rPr>
          <w:rFonts w:ascii="Times New Roman" w:hAnsi="Times New Roman" w:cs="Times New Roman"/>
          <w:color w:val="000000"/>
        </w:rPr>
        <w:t xml:space="preserve">ity of a graduate assistantship </w:t>
      </w:r>
      <w:r w:rsidRPr="0032700F">
        <w:rPr>
          <w:rFonts w:ascii="Times New Roman" w:hAnsi="Times New Roman" w:cs="Times New Roman"/>
          <w:color w:val="000000"/>
        </w:rPr>
        <w:t xml:space="preserve">being rooted in both an academic and work experience is at </w:t>
      </w:r>
      <w:r w:rsidR="00265223" w:rsidRPr="0032700F">
        <w:rPr>
          <w:rFonts w:ascii="Times New Roman" w:hAnsi="Times New Roman" w:cs="Times New Roman"/>
          <w:color w:val="000000"/>
        </w:rPr>
        <w:t>the core of this study</w:t>
      </w:r>
      <w:r w:rsidR="004B09B6" w:rsidRPr="0032700F">
        <w:rPr>
          <w:rFonts w:ascii="Times New Roman" w:hAnsi="Times New Roman" w:cs="Times New Roman"/>
          <w:color w:val="000000"/>
        </w:rPr>
        <w:t xml:space="preserve">. </w:t>
      </w:r>
      <w:r w:rsidR="00ED24C9" w:rsidRPr="0032700F">
        <w:rPr>
          <w:rFonts w:ascii="Times New Roman" w:hAnsi="Times New Roman" w:cs="Times New Roman"/>
          <w:color w:val="000000"/>
        </w:rPr>
        <w:t>If our industry’s goal is t</w:t>
      </w:r>
      <w:r w:rsidR="00F74E20" w:rsidRPr="0032700F">
        <w:rPr>
          <w:rFonts w:ascii="Times New Roman" w:hAnsi="Times New Roman" w:cs="Times New Roman"/>
          <w:color w:val="000000"/>
        </w:rPr>
        <w:t>o maximize the assistantship as a</w:t>
      </w:r>
      <w:r w:rsidR="00ED24C9" w:rsidRPr="0032700F">
        <w:rPr>
          <w:rFonts w:ascii="Times New Roman" w:hAnsi="Times New Roman" w:cs="Times New Roman"/>
          <w:color w:val="000000"/>
        </w:rPr>
        <w:t xml:space="preserve"> development opportunity for would be professionals in our field, then it makes sense to ensure that the academic experience and work experience are efficiently moving graduate students towards these critical competencies.  If the assistantship and degree program are unnecessarily duplicating the development of certain competency areas and neglecting others, we are falling short as an industry.   As impacting the curriculum and availability of certain degree programs is not so easily achieved</w:t>
      </w:r>
      <w:r w:rsidR="00265223" w:rsidRPr="0032700F">
        <w:rPr>
          <w:rFonts w:ascii="Times New Roman" w:hAnsi="Times New Roman" w:cs="Times New Roman"/>
          <w:color w:val="000000"/>
        </w:rPr>
        <w:t xml:space="preserve"> for recreation professionals</w:t>
      </w:r>
      <w:r w:rsidR="00ED24C9" w:rsidRPr="0032700F">
        <w:rPr>
          <w:rFonts w:ascii="Times New Roman" w:hAnsi="Times New Roman" w:cs="Times New Roman"/>
          <w:color w:val="000000"/>
        </w:rPr>
        <w:t>, it is more reasonab</w:t>
      </w:r>
      <w:r w:rsidR="00AB4B48" w:rsidRPr="0032700F">
        <w:rPr>
          <w:rFonts w:ascii="Times New Roman" w:hAnsi="Times New Roman" w:cs="Times New Roman"/>
          <w:color w:val="000000"/>
        </w:rPr>
        <w:t xml:space="preserve">le to examine the design of </w:t>
      </w:r>
      <w:r w:rsidR="00ED24C9" w:rsidRPr="0032700F">
        <w:rPr>
          <w:rFonts w:ascii="Times New Roman" w:hAnsi="Times New Roman" w:cs="Times New Roman"/>
          <w:color w:val="000000"/>
        </w:rPr>
        <w:t xml:space="preserve">graduate assistant work experiences and intentionally design a position description that most </w:t>
      </w:r>
      <w:r w:rsidR="00ED24C9" w:rsidRPr="0032700F">
        <w:rPr>
          <w:rFonts w:ascii="Times New Roman" w:hAnsi="Times New Roman" w:cs="Times New Roman"/>
          <w:color w:val="000000"/>
        </w:rPr>
        <w:lastRenderedPageBreak/>
        <w:t>effectively provides development opportunities</w:t>
      </w:r>
      <w:r w:rsidR="004B09B6" w:rsidRPr="0032700F">
        <w:rPr>
          <w:rFonts w:ascii="Times New Roman" w:hAnsi="Times New Roman" w:cs="Times New Roman"/>
          <w:color w:val="000000"/>
        </w:rPr>
        <w:t xml:space="preserve"> for the student </w:t>
      </w:r>
      <w:r w:rsidR="00ED24C9" w:rsidRPr="0032700F">
        <w:rPr>
          <w:rFonts w:ascii="Times New Roman" w:hAnsi="Times New Roman" w:cs="Times New Roman"/>
          <w:color w:val="000000"/>
        </w:rPr>
        <w:t>while still</w:t>
      </w:r>
      <w:r w:rsidR="00AB4B48" w:rsidRPr="0032700F">
        <w:rPr>
          <w:rFonts w:ascii="Times New Roman" w:hAnsi="Times New Roman" w:cs="Times New Roman"/>
          <w:color w:val="000000"/>
        </w:rPr>
        <w:t xml:space="preserve"> meeting the functional needs of the department. </w:t>
      </w:r>
    </w:p>
    <w:p w:rsidR="000305EF" w:rsidRPr="0032700F" w:rsidRDefault="000305EF" w:rsidP="005B397A">
      <w:pPr>
        <w:spacing w:line="480" w:lineRule="auto"/>
        <w:jc w:val="center"/>
        <w:rPr>
          <w:rFonts w:ascii="Times New Roman" w:hAnsi="Times New Roman" w:cs="Times New Roman"/>
          <w:b/>
        </w:rPr>
      </w:pPr>
      <w:r w:rsidRPr="0032700F">
        <w:rPr>
          <w:rFonts w:ascii="Times New Roman" w:hAnsi="Times New Roman" w:cs="Times New Roman"/>
          <w:b/>
          <w:color w:val="000000"/>
        </w:rPr>
        <w:t>Review of Literatur</w:t>
      </w:r>
      <w:r w:rsidR="00221093" w:rsidRPr="0032700F">
        <w:rPr>
          <w:rFonts w:ascii="Times New Roman" w:hAnsi="Times New Roman" w:cs="Times New Roman"/>
          <w:b/>
          <w:color w:val="000000"/>
        </w:rPr>
        <w:t>e</w:t>
      </w:r>
    </w:p>
    <w:p w:rsidR="00F17394" w:rsidRPr="0032700F" w:rsidRDefault="000305EF" w:rsidP="000305EF">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The importance of having a clearly defined set of competencies for success is not unique to the field of collegiate recreation. Researc</w:t>
      </w:r>
      <w:r w:rsidR="00371BB9" w:rsidRPr="0032700F">
        <w:rPr>
          <w:rFonts w:ascii="Times New Roman" w:hAnsi="Times New Roman" w:cs="Times New Roman"/>
          <w:color w:val="000000"/>
        </w:rPr>
        <w:t>hers have examined competencies for the related fields of student affairs administration</w:t>
      </w:r>
      <w:r w:rsidR="006476E3" w:rsidRPr="0032700F">
        <w:rPr>
          <w:rFonts w:ascii="Times New Roman" w:hAnsi="Times New Roman" w:cs="Times New Roman"/>
          <w:color w:val="000000"/>
        </w:rPr>
        <w:t xml:space="preserve"> in higher education</w:t>
      </w:r>
      <w:r w:rsidR="00371BB9" w:rsidRPr="0032700F">
        <w:rPr>
          <w:rFonts w:ascii="Times New Roman" w:hAnsi="Times New Roman" w:cs="Times New Roman"/>
          <w:color w:val="000000"/>
        </w:rPr>
        <w:t xml:space="preserve"> as well as </w:t>
      </w:r>
      <w:r w:rsidR="006476E3" w:rsidRPr="0032700F">
        <w:rPr>
          <w:rFonts w:ascii="Times New Roman" w:hAnsi="Times New Roman" w:cs="Times New Roman"/>
          <w:color w:val="000000"/>
        </w:rPr>
        <w:t xml:space="preserve">various areas within </w:t>
      </w:r>
      <w:r w:rsidR="00371BB9" w:rsidRPr="0032700F">
        <w:rPr>
          <w:rFonts w:ascii="Times New Roman" w:hAnsi="Times New Roman" w:cs="Times New Roman"/>
          <w:color w:val="000000"/>
        </w:rPr>
        <w:t xml:space="preserve">sports management. </w:t>
      </w:r>
      <w:r w:rsidR="006476E3" w:rsidRPr="0032700F">
        <w:rPr>
          <w:rFonts w:ascii="Times New Roman" w:hAnsi="Times New Roman" w:cs="Times New Roman"/>
          <w:color w:val="000000"/>
        </w:rPr>
        <w:t xml:space="preserve"> In </w:t>
      </w:r>
      <w:r w:rsidR="00A052DC" w:rsidRPr="0032700F">
        <w:rPr>
          <w:rFonts w:ascii="Times New Roman" w:hAnsi="Times New Roman" w:cs="Times New Roman"/>
          <w:color w:val="000000"/>
        </w:rPr>
        <w:t>regards to student affairs administration,</w:t>
      </w:r>
      <w:r w:rsidR="006476E3" w:rsidRPr="0032700F">
        <w:rPr>
          <w:rFonts w:ascii="Times New Roman" w:hAnsi="Times New Roman" w:cs="Times New Roman"/>
          <w:color w:val="000000"/>
        </w:rPr>
        <w:t xml:space="preserve"> t</w:t>
      </w:r>
      <w:r w:rsidR="009109E8" w:rsidRPr="0032700F">
        <w:rPr>
          <w:rFonts w:ascii="Times New Roman" w:hAnsi="Times New Roman" w:cs="Times New Roman"/>
          <w:color w:val="000000"/>
        </w:rPr>
        <w:t xml:space="preserve">hese competencies </w:t>
      </w:r>
      <w:r w:rsidR="003F0875" w:rsidRPr="0032700F">
        <w:rPr>
          <w:rFonts w:ascii="Times New Roman" w:hAnsi="Times New Roman" w:cs="Times New Roman"/>
          <w:color w:val="000000"/>
        </w:rPr>
        <w:t>have become</w:t>
      </w:r>
      <w:r w:rsidR="006476E3" w:rsidRPr="0032700F">
        <w:rPr>
          <w:rFonts w:ascii="Times New Roman" w:hAnsi="Times New Roman" w:cs="Times New Roman"/>
          <w:color w:val="000000"/>
        </w:rPr>
        <w:t xml:space="preserve"> clearly defined and are recognized by a unifying national organization. </w:t>
      </w:r>
      <w:r w:rsidR="00265223" w:rsidRPr="0032700F">
        <w:rPr>
          <w:rFonts w:ascii="Times New Roman" w:hAnsi="Times New Roman" w:cs="Times New Roman"/>
          <w:color w:val="000000"/>
        </w:rPr>
        <w:t xml:space="preserve"> </w:t>
      </w:r>
      <w:r w:rsidR="00A052DC" w:rsidRPr="0032700F">
        <w:rPr>
          <w:rFonts w:ascii="Times New Roman" w:hAnsi="Times New Roman" w:cs="Times New Roman"/>
          <w:color w:val="000000"/>
        </w:rPr>
        <w:t>The</w:t>
      </w:r>
      <w:r w:rsidR="005F4CF4" w:rsidRPr="0032700F">
        <w:rPr>
          <w:rFonts w:ascii="Times New Roman" w:hAnsi="Times New Roman" w:cs="Times New Roman"/>
          <w:color w:val="000000"/>
        </w:rPr>
        <w:t xml:space="preserve"> academic discipline</w:t>
      </w:r>
      <w:r w:rsidR="00A052DC" w:rsidRPr="0032700F">
        <w:rPr>
          <w:rFonts w:ascii="Times New Roman" w:hAnsi="Times New Roman" w:cs="Times New Roman"/>
          <w:color w:val="000000"/>
        </w:rPr>
        <w:t xml:space="preserve"> of sports management covers a vast scope of </w:t>
      </w:r>
      <w:r w:rsidR="005F4CF4" w:rsidRPr="0032700F">
        <w:rPr>
          <w:rFonts w:ascii="Times New Roman" w:hAnsi="Times New Roman" w:cs="Times New Roman"/>
          <w:color w:val="000000"/>
        </w:rPr>
        <w:t>the sports industry and as such each individual area of the field has its own twist on core competencies.</w:t>
      </w:r>
      <w:r w:rsidR="00265223" w:rsidRPr="0032700F">
        <w:rPr>
          <w:rFonts w:ascii="Times New Roman" w:hAnsi="Times New Roman" w:cs="Times New Roman"/>
          <w:color w:val="000000"/>
        </w:rPr>
        <w:t xml:space="preserve">  </w:t>
      </w:r>
    </w:p>
    <w:p w:rsidR="00A052DC" w:rsidRPr="0032700F" w:rsidRDefault="00F17394" w:rsidP="000305EF">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 xml:space="preserve">In 1949, Wrenn and Darley first identified that “the application of standards for selection and training” was one of eight critical components for identifying student affairs work as a profession.  At the time, they deemed that these standards were not present and that student affairs was not an identifiable profession.  The </w:t>
      </w:r>
      <w:r w:rsidR="003F0875" w:rsidRPr="0032700F">
        <w:rPr>
          <w:rFonts w:ascii="Times New Roman" w:hAnsi="Times New Roman" w:cs="Times New Roman"/>
          <w:color w:val="000000"/>
        </w:rPr>
        <w:t xml:space="preserve">field </w:t>
      </w:r>
      <w:r w:rsidRPr="0032700F">
        <w:rPr>
          <w:rFonts w:ascii="Times New Roman" w:hAnsi="Times New Roman" w:cs="Times New Roman"/>
          <w:color w:val="000000"/>
        </w:rPr>
        <w:t xml:space="preserve">was re-assessed twice in the 1980’s (Stamatakos, 1981) (Bloland &amp; Stamatakos, 1989) with the same conclusion.  </w:t>
      </w:r>
    </w:p>
    <w:p w:rsidR="00E10C1A" w:rsidRPr="0032700F" w:rsidRDefault="00F17394" w:rsidP="00E10C1A">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T</w:t>
      </w:r>
      <w:r w:rsidR="006476E3" w:rsidRPr="0032700F">
        <w:rPr>
          <w:rFonts w:ascii="Times New Roman" w:hAnsi="Times New Roman" w:cs="Times New Roman"/>
          <w:color w:val="000000"/>
        </w:rPr>
        <w:t xml:space="preserve">he first </w:t>
      </w:r>
      <w:r w:rsidR="00A052DC" w:rsidRPr="0032700F">
        <w:rPr>
          <w:rFonts w:ascii="Times New Roman" w:hAnsi="Times New Roman" w:cs="Times New Roman"/>
          <w:color w:val="000000"/>
        </w:rPr>
        <w:t xml:space="preserve">gathering </w:t>
      </w:r>
      <w:r w:rsidR="006476E3" w:rsidRPr="0032700F">
        <w:rPr>
          <w:rFonts w:ascii="Times New Roman" w:hAnsi="Times New Roman" w:cs="Times New Roman"/>
          <w:color w:val="000000"/>
        </w:rPr>
        <w:t>of what would become the Council for the Advancement of Standa</w:t>
      </w:r>
      <w:r w:rsidR="00A052DC" w:rsidRPr="0032700F">
        <w:rPr>
          <w:rFonts w:ascii="Times New Roman" w:hAnsi="Times New Roman" w:cs="Times New Roman"/>
          <w:color w:val="000000"/>
        </w:rPr>
        <w:t>rds in Higher Education (CAS)</w:t>
      </w:r>
      <w:r w:rsidRPr="0032700F">
        <w:rPr>
          <w:rFonts w:ascii="Times New Roman" w:hAnsi="Times New Roman" w:cs="Times New Roman"/>
          <w:color w:val="000000"/>
        </w:rPr>
        <w:t xml:space="preserve"> </w:t>
      </w:r>
      <w:r w:rsidR="003F0875" w:rsidRPr="0032700F">
        <w:rPr>
          <w:rFonts w:ascii="Times New Roman" w:hAnsi="Times New Roman" w:cs="Times New Roman"/>
          <w:color w:val="000000"/>
        </w:rPr>
        <w:t>occurred</w:t>
      </w:r>
      <w:r w:rsidRPr="0032700F">
        <w:rPr>
          <w:rFonts w:ascii="Times New Roman" w:hAnsi="Times New Roman" w:cs="Times New Roman"/>
          <w:color w:val="000000"/>
        </w:rPr>
        <w:t xml:space="preserve"> in 1979 and</w:t>
      </w:r>
      <w:r w:rsidR="00A052DC" w:rsidRPr="0032700F">
        <w:rPr>
          <w:rFonts w:ascii="Times New Roman" w:hAnsi="Times New Roman" w:cs="Times New Roman"/>
          <w:color w:val="000000"/>
        </w:rPr>
        <w:t xml:space="preserve"> marked a significant step towards an accepted set of standards </w:t>
      </w:r>
      <w:r w:rsidR="003F0875" w:rsidRPr="0032700F">
        <w:rPr>
          <w:rFonts w:ascii="Times New Roman" w:hAnsi="Times New Roman" w:cs="Times New Roman"/>
          <w:color w:val="000000"/>
        </w:rPr>
        <w:t xml:space="preserve">for which to measure </w:t>
      </w:r>
      <w:r w:rsidR="005F4CF4" w:rsidRPr="0032700F">
        <w:rPr>
          <w:rFonts w:ascii="Times New Roman" w:hAnsi="Times New Roman" w:cs="Times New Roman"/>
          <w:color w:val="000000"/>
        </w:rPr>
        <w:t>work in student affairs.   Building off of those early efforts to formalize their field as a profession, t</w:t>
      </w:r>
      <w:r w:rsidR="00A052DC" w:rsidRPr="0032700F">
        <w:rPr>
          <w:rFonts w:ascii="Times New Roman" w:hAnsi="Times New Roman" w:cs="Times New Roman"/>
          <w:color w:val="000000"/>
        </w:rPr>
        <w:t xml:space="preserve">he </w:t>
      </w:r>
      <w:r w:rsidR="006476E3" w:rsidRPr="0032700F">
        <w:rPr>
          <w:rFonts w:ascii="Times New Roman" w:hAnsi="Times New Roman" w:cs="Times New Roman"/>
          <w:color w:val="000000"/>
        </w:rPr>
        <w:t>Association for College Personnel Administrators (ACPA) and the National Association of Student Personnel Administrators (NASPA)</w:t>
      </w:r>
      <w:r w:rsidR="00A052DC" w:rsidRPr="0032700F">
        <w:rPr>
          <w:rFonts w:ascii="Times New Roman" w:hAnsi="Times New Roman" w:cs="Times New Roman"/>
          <w:color w:val="000000"/>
        </w:rPr>
        <w:t xml:space="preserve"> have joi</w:t>
      </w:r>
      <w:r w:rsidR="008A7671" w:rsidRPr="0032700F">
        <w:rPr>
          <w:rFonts w:ascii="Times New Roman" w:hAnsi="Times New Roman" w:cs="Times New Roman"/>
          <w:color w:val="000000"/>
        </w:rPr>
        <w:t xml:space="preserve">ned forces to publish a set of </w:t>
      </w:r>
      <w:r w:rsidR="008A7671" w:rsidRPr="0032700F">
        <w:rPr>
          <w:rFonts w:ascii="Times New Roman" w:hAnsi="Times New Roman" w:cs="Times New Roman"/>
          <w:color w:val="000000"/>
          <w:u w:val="single"/>
        </w:rPr>
        <w:t>Competency Areas for Student Personnel P</w:t>
      </w:r>
      <w:r w:rsidR="00A052DC" w:rsidRPr="0032700F">
        <w:rPr>
          <w:rFonts w:ascii="Times New Roman" w:hAnsi="Times New Roman" w:cs="Times New Roman"/>
          <w:color w:val="000000"/>
          <w:u w:val="single"/>
        </w:rPr>
        <w:t>ractitioners</w:t>
      </w:r>
      <w:r w:rsidR="00A052DC" w:rsidRPr="0032700F">
        <w:rPr>
          <w:rFonts w:ascii="Times New Roman" w:hAnsi="Times New Roman" w:cs="Times New Roman"/>
          <w:color w:val="000000"/>
        </w:rPr>
        <w:t xml:space="preserve"> (2010).</w:t>
      </w:r>
      <w:r w:rsidR="006476E3" w:rsidRPr="0032700F">
        <w:rPr>
          <w:rFonts w:ascii="Times New Roman" w:hAnsi="Times New Roman" w:cs="Times New Roman"/>
          <w:color w:val="000000"/>
        </w:rPr>
        <w:t xml:space="preserve"> </w:t>
      </w:r>
      <w:r w:rsidR="00371BB9" w:rsidRPr="0032700F">
        <w:rPr>
          <w:rFonts w:ascii="Times New Roman" w:hAnsi="Times New Roman" w:cs="Times New Roman"/>
          <w:color w:val="000000"/>
        </w:rPr>
        <w:t xml:space="preserve"> </w:t>
      </w:r>
      <w:r w:rsidR="00E37C06" w:rsidRPr="0032700F">
        <w:rPr>
          <w:rFonts w:ascii="Times New Roman" w:hAnsi="Times New Roman" w:cs="Times New Roman"/>
          <w:color w:val="000000"/>
        </w:rPr>
        <w:t>According to their work, professionals in this field would demonstrate competency in</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advising and h</w:t>
      </w:r>
      <w:r w:rsidR="00E10C1A" w:rsidRPr="0032700F">
        <w:rPr>
          <w:rFonts w:ascii="Times New Roman" w:hAnsi="Times New Roman" w:cs="Times New Roman"/>
        </w:rPr>
        <w:t>elping</w:t>
      </w:r>
      <w:r w:rsidRPr="0032700F">
        <w:rPr>
          <w:rFonts w:ascii="Times New Roman" w:hAnsi="Times New Roman" w:cs="Times New Roman"/>
        </w:rPr>
        <w:t>;</w:t>
      </w:r>
      <w:r w:rsidR="00E10C1A" w:rsidRPr="0032700F">
        <w:rPr>
          <w:rFonts w:ascii="Times New Roman" w:hAnsi="Times New Roman" w:cs="Times New Roman"/>
        </w:rPr>
        <w:t xml:space="preserve"> </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lastRenderedPageBreak/>
        <w:t>assessment, evaluation, and research;</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equity, diversity, and i</w:t>
      </w:r>
      <w:r w:rsidR="00E10C1A" w:rsidRPr="0032700F">
        <w:rPr>
          <w:rFonts w:ascii="Times New Roman" w:hAnsi="Times New Roman" w:cs="Times New Roman"/>
        </w:rPr>
        <w:t>nclusion</w:t>
      </w:r>
      <w:r w:rsidRPr="0032700F">
        <w:rPr>
          <w:rFonts w:ascii="Times New Roman" w:hAnsi="Times New Roman" w:cs="Times New Roman"/>
        </w:rPr>
        <w:t>;</w:t>
      </w:r>
      <w:r w:rsidR="00E10C1A" w:rsidRPr="0032700F">
        <w:rPr>
          <w:rFonts w:ascii="Times New Roman" w:hAnsi="Times New Roman" w:cs="Times New Roman"/>
        </w:rPr>
        <w:t xml:space="preserve"> </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e</w:t>
      </w:r>
      <w:r w:rsidR="00E10C1A" w:rsidRPr="0032700F">
        <w:rPr>
          <w:rFonts w:ascii="Times New Roman" w:hAnsi="Times New Roman" w:cs="Times New Roman"/>
        </w:rPr>
        <w:t xml:space="preserve">thical </w:t>
      </w:r>
      <w:r w:rsidRPr="0032700F">
        <w:rPr>
          <w:rFonts w:ascii="Times New Roman" w:hAnsi="Times New Roman" w:cs="Times New Roman"/>
        </w:rPr>
        <w:t>professional p</w:t>
      </w:r>
      <w:r w:rsidR="00E10C1A" w:rsidRPr="0032700F">
        <w:rPr>
          <w:rFonts w:ascii="Times New Roman" w:hAnsi="Times New Roman" w:cs="Times New Roman"/>
        </w:rPr>
        <w:t>ractice</w:t>
      </w:r>
      <w:r w:rsidRPr="0032700F">
        <w:rPr>
          <w:rFonts w:ascii="Times New Roman" w:hAnsi="Times New Roman" w:cs="Times New Roman"/>
        </w:rPr>
        <w:t>;</w:t>
      </w:r>
      <w:r w:rsidR="00E10C1A" w:rsidRPr="0032700F">
        <w:rPr>
          <w:rFonts w:ascii="Times New Roman" w:hAnsi="Times New Roman" w:cs="Times New Roman"/>
        </w:rPr>
        <w:t xml:space="preserve"> </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history, philosophy, and values;</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human and organizational resources;</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law, policy, and g</w:t>
      </w:r>
      <w:r w:rsidR="00E10C1A" w:rsidRPr="0032700F">
        <w:rPr>
          <w:rFonts w:ascii="Times New Roman" w:hAnsi="Times New Roman" w:cs="Times New Roman"/>
        </w:rPr>
        <w:t>overnance</w:t>
      </w:r>
      <w:r w:rsidRPr="0032700F">
        <w:rPr>
          <w:rFonts w:ascii="Times New Roman" w:hAnsi="Times New Roman" w:cs="Times New Roman"/>
        </w:rPr>
        <w:t>;</w:t>
      </w:r>
      <w:r w:rsidR="00E10C1A" w:rsidRPr="0032700F">
        <w:rPr>
          <w:rFonts w:ascii="Times New Roman" w:hAnsi="Times New Roman" w:cs="Times New Roman"/>
        </w:rPr>
        <w:t xml:space="preserve"> </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leadership;</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personal f</w:t>
      </w:r>
      <w:r w:rsidR="00E10C1A" w:rsidRPr="0032700F">
        <w:rPr>
          <w:rFonts w:ascii="Times New Roman" w:hAnsi="Times New Roman" w:cs="Times New Roman"/>
        </w:rPr>
        <w:t>oundations</w:t>
      </w:r>
      <w:r w:rsidRPr="0032700F">
        <w:rPr>
          <w:rFonts w:ascii="Times New Roman" w:hAnsi="Times New Roman" w:cs="Times New Roman"/>
        </w:rPr>
        <w:t>;</w:t>
      </w:r>
      <w:r w:rsidR="00E10C1A" w:rsidRPr="0032700F">
        <w:rPr>
          <w:rFonts w:ascii="Times New Roman" w:hAnsi="Times New Roman" w:cs="Times New Roman"/>
        </w:rPr>
        <w:t xml:space="preserve"> </w:t>
      </w:r>
      <w:r w:rsidRPr="0032700F">
        <w:rPr>
          <w:rFonts w:ascii="Times New Roman" w:hAnsi="Times New Roman" w:cs="Times New Roman"/>
        </w:rPr>
        <w:t>and</w:t>
      </w:r>
    </w:p>
    <w:p w:rsidR="00E10C1A" w:rsidRPr="0032700F" w:rsidRDefault="008A7671" w:rsidP="00E10C1A">
      <w:pPr>
        <w:pStyle w:val="ListParagraph"/>
        <w:numPr>
          <w:ilvl w:val="0"/>
          <w:numId w:val="1"/>
        </w:numPr>
        <w:spacing w:line="480" w:lineRule="auto"/>
        <w:rPr>
          <w:rFonts w:ascii="Times New Roman" w:hAnsi="Times New Roman" w:cs="Times New Roman"/>
        </w:rPr>
      </w:pPr>
      <w:r w:rsidRPr="0032700F">
        <w:rPr>
          <w:rFonts w:ascii="Times New Roman" w:hAnsi="Times New Roman" w:cs="Times New Roman"/>
        </w:rPr>
        <w:t>student learning and d</w:t>
      </w:r>
      <w:r w:rsidR="00E10C1A" w:rsidRPr="0032700F">
        <w:rPr>
          <w:rFonts w:ascii="Times New Roman" w:hAnsi="Times New Roman" w:cs="Times New Roman"/>
        </w:rPr>
        <w:t>evelopmen</w:t>
      </w:r>
      <w:r w:rsidRPr="0032700F">
        <w:rPr>
          <w:rFonts w:ascii="Times New Roman" w:hAnsi="Times New Roman" w:cs="Times New Roman"/>
        </w:rPr>
        <w:t>t (ACPA &amp; NASPA, 2010).</w:t>
      </w:r>
    </w:p>
    <w:p w:rsidR="00F17394" w:rsidRPr="0032700F" w:rsidRDefault="005F4CF4" w:rsidP="00F17394">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 xml:space="preserve">As previously mentioned, the landscape of defining competencies for industries related to the field of sports management is much more diverse.   </w:t>
      </w:r>
      <w:r w:rsidR="00B2627A" w:rsidRPr="0032700F">
        <w:rPr>
          <w:rFonts w:ascii="Times New Roman" w:hAnsi="Times New Roman" w:cs="Times New Roman"/>
          <w:color w:val="000000"/>
        </w:rPr>
        <w:t xml:space="preserve">This is evident by the research </w:t>
      </w:r>
      <w:r w:rsidR="00E10C1A" w:rsidRPr="0032700F">
        <w:rPr>
          <w:rFonts w:ascii="Times New Roman" w:hAnsi="Times New Roman" w:cs="Times New Roman"/>
          <w:color w:val="000000"/>
        </w:rPr>
        <w:t>conducted on competency identification</w:t>
      </w:r>
      <w:r w:rsidR="00B2627A" w:rsidRPr="0032700F">
        <w:rPr>
          <w:rFonts w:ascii="Times New Roman" w:hAnsi="Times New Roman" w:cs="Times New Roman"/>
          <w:color w:val="000000"/>
        </w:rPr>
        <w:t xml:space="preserve"> for sports</w:t>
      </w:r>
      <w:r w:rsidR="000305EF" w:rsidRPr="0032700F">
        <w:rPr>
          <w:rFonts w:ascii="Times New Roman" w:hAnsi="Times New Roman" w:cs="Times New Roman"/>
          <w:color w:val="000000"/>
        </w:rPr>
        <w:t xml:space="preserve"> facility managers (Case &amp; Branch, 2003), fitness club instructors (Change &amp; Kim, 2003; Koustelios, 2003), sport club managers in Germany (Horch &amp; Shutte, 2003), public parks and recreation professionals (Hurd, 2005), private club managers (Koenigsfeld, 2007), basketball coaches (Phillips &amp; Jubenville, 2009; Kostopoulos, 2011), sales and marketing professionals in the sport industry (Bae &amp; Miller, 2011), track and field coaches (Stavropoulos, Kipreos, Tripolitsioti, Str</w:t>
      </w:r>
      <w:r w:rsidR="00E37C06" w:rsidRPr="0032700F">
        <w:rPr>
          <w:rFonts w:ascii="Times New Roman" w:hAnsi="Times New Roman" w:cs="Times New Roman"/>
          <w:color w:val="000000"/>
        </w:rPr>
        <w:t>igas, 2012), and</w:t>
      </w:r>
      <w:r w:rsidR="000305EF" w:rsidRPr="0032700F">
        <w:rPr>
          <w:rFonts w:ascii="Times New Roman" w:hAnsi="Times New Roman" w:cs="Times New Roman"/>
          <w:color w:val="000000"/>
        </w:rPr>
        <w:t xml:space="preserve"> athletic directors (Woo &amp; Hwang, 2012). These research studies and others on the core competencies of recreational sport administrators (Barcelona &amp; Ross, 2004) and entry level professionals, graduate assistants, and student employees in </w:t>
      </w:r>
      <w:r w:rsidR="00B2627A" w:rsidRPr="0032700F">
        <w:rPr>
          <w:rFonts w:ascii="Times New Roman" w:hAnsi="Times New Roman" w:cs="Times New Roman"/>
          <w:color w:val="000000"/>
        </w:rPr>
        <w:t>collegiate recreation</w:t>
      </w:r>
      <w:r w:rsidR="000305EF" w:rsidRPr="0032700F">
        <w:rPr>
          <w:rFonts w:ascii="Times New Roman" w:hAnsi="Times New Roman" w:cs="Times New Roman"/>
          <w:color w:val="000000"/>
        </w:rPr>
        <w:t xml:space="preserve"> (Schneider, Stier, Kampf, Haines &amp; Wilding, 2006) demonstrate the growing professionalism of the sport, </w:t>
      </w:r>
      <w:r w:rsidR="00F17394" w:rsidRPr="0032700F">
        <w:rPr>
          <w:rFonts w:ascii="Times New Roman" w:hAnsi="Times New Roman" w:cs="Times New Roman"/>
          <w:color w:val="000000"/>
        </w:rPr>
        <w:t xml:space="preserve">recreation, and fitness fields. </w:t>
      </w:r>
      <w:r w:rsidR="000305EF" w:rsidRPr="0032700F">
        <w:rPr>
          <w:rFonts w:ascii="Times New Roman" w:hAnsi="Times New Roman" w:cs="Times New Roman"/>
          <w:color w:val="000000"/>
        </w:rPr>
        <w:t>Broadly, these core competencies for sport, recreation, and fitness professionals include</w:t>
      </w:r>
    </w:p>
    <w:p w:rsidR="00F17394" w:rsidRPr="0032700F" w:rsidRDefault="008A7671" w:rsidP="00F17394">
      <w:pPr>
        <w:pStyle w:val="ListParagraph"/>
        <w:numPr>
          <w:ilvl w:val="0"/>
          <w:numId w:val="2"/>
        </w:numPr>
        <w:spacing w:line="480" w:lineRule="auto"/>
        <w:rPr>
          <w:rFonts w:ascii="Times New Roman" w:hAnsi="Times New Roman" w:cs="Times New Roman"/>
        </w:rPr>
      </w:pPr>
      <w:r w:rsidRPr="0032700F">
        <w:rPr>
          <w:rFonts w:ascii="Times New Roman" w:hAnsi="Times New Roman" w:cs="Times New Roman"/>
          <w:color w:val="000000"/>
        </w:rPr>
        <w:t>management and l</w:t>
      </w:r>
      <w:r w:rsidR="00F17394" w:rsidRPr="0032700F">
        <w:rPr>
          <w:rFonts w:ascii="Times New Roman" w:hAnsi="Times New Roman" w:cs="Times New Roman"/>
          <w:color w:val="000000"/>
        </w:rPr>
        <w:t>eadership</w:t>
      </w:r>
      <w:r w:rsidRPr="0032700F">
        <w:rPr>
          <w:rFonts w:ascii="Times New Roman" w:hAnsi="Times New Roman" w:cs="Times New Roman"/>
          <w:color w:val="000000"/>
        </w:rPr>
        <w:t>;</w:t>
      </w:r>
    </w:p>
    <w:p w:rsidR="00F17394" w:rsidRPr="0032700F" w:rsidRDefault="008A7671" w:rsidP="00F17394">
      <w:pPr>
        <w:pStyle w:val="ListParagraph"/>
        <w:numPr>
          <w:ilvl w:val="0"/>
          <w:numId w:val="2"/>
        </w:numPr>
        <w:spacing w:line="480" w:lineRule="auto"/>
        <w:rPr>
          <w:rFonts w:ascii="Times New Roman" w:hAnsi="Times New Roman" w:cs="Times New Roman"/>
        </w:rPr>
      </w:pPr>
      <w:r w:rsidRPr="0032700F">
        <w:rPr>
          <w:rFonts w:ascii="Times New Roman" w:hAnsi="Times New Roman" w:cs="Times New Roman"/>
          <w:color w:val="000000"/>
        </w:rPr>
        <w:lastRenderedPageBreak/>
        <w:t xml:space="preserve"> technical and p</w:t>
      </w:r>
      <w:r w:rsidR="00F17394" w:rsidRPr="0032700F">
        <w:rPr>
          <w:rFonts w:ascii="Times New Roman" w:hAnsi="Times New Roman" w:cs="Times New Roman"/>
          <w:color w:val="000000"/>
        </w:rPr>
        <w:t>rogramming</w:t>
      </w:r>
      <w:r w:rsidRPr="0032700F">
        <w:rPr>
          <w:rFonts w:ascii="Times New Roman" w:hAnsi="Times New Roman" w:cs="Times New Roman"/>
          <w:color w:val="000000"/>
        </w:rPr>
        <w:t>;</w:t>
      </w:r>
    </w:p>
    <w:p w:rsidR="00F17394" w:rsidRPr="0032700F" w:rsidRDefault="008A7671" w:rsidP="00F17394">
      <w:pPr>
        <w:pStyle w:val="ListParagraph"/>
        <w:numPr>
          <w:ilvl w:val="0"/>
          <w:numId w:val="2"/>
        </w:numPr>
        <w:spacing w:line="480" w:lineRule="auto"/>
        <w:rPr>
          <w:rFonts w:ascii="Times New Roman" w:hAnsi="Times New Roman" w:cs="Times New Roman"/>
        </w:rPr>
      </w:pPr>
      <w:r w:rsidRPr="0032700F">
        <w:rPr>
          <w:rFonts w:ascii="Times New Roman" w:hAnsi="Times New Roman" w:cs="Times New Roman"/>
          <w:color w:val="000000"/>
        </w:rPr>
        <w:t>a</w:t>
      </w:r>
      <w:r w:rsidR="00F17394" w:rsidRPr="0032700F">
        <w:rPr>
          <w:rFonts w:ascii="Times New Roman" w:hAnsi="Times New Roman" w:cs="Times New Roman"/>
          <w:color w:val="000000"/>
        </w:rPr>
        <w:t>dministrative</w:t>
      </w:r>
      <w:r w:rsidRPr="0032700F">
        <w:rPr>
          <w:rFonts w:ascii="Times New Roman" w:hAnsi="Times New Roman" w:cs="Times New Roman"/>
          <w:color w:val="000000"/>
        </w:rPr>
        <w:t>; and</w:t>
      </w:r>
    </w:p>
    <w:p w:rsidR="002878E0" w:rsidRPr="0032700F" w:rsidRDefault="008A7671" w:rsidP="00F17394">
      <w:pPr>
        <w:pStyle w:val="ListParagraph"/>
        <w:numPr>
          <w:ilvl w:val="0"/>
          <w:numId w:val="2"/>
        </w:numPr>
        <w:spacing w:line="480" w:lineRule="auto"/>
        <w:rPr>
          <w:rFonts w:ascii="Times New Roman" w:hAnsi="Times New Roman" w:cs="Times New Roman"/>
        </w:rPr>
      </w:pPr>
      <w:r w:rsidRPr="0032700F">
        <w:rPr>
          <w:rFonts w:ascii="Times New Roman" w:hAnsi="Times New Roman" w:cs="Times New Roman"/>
          <w:color w:val="000000"/>
        </w:rPr>
        <w:t>theory and Research s</w:t>
      </w:r>
      <w:r w:rsidR="00F17394" w:rsidRPr="0032700F">
        <w:rPr>
          <w:rFonts w:ascii="Times New Roman" w:hAnsi="Times New Roman" w:cs="Times New Roman"/>
          <w:color w:val="000000"/>
        </w:rPr>
        <w:t>kills</w:t>
      </w:r>
      <w:r w:rsidRPr="0032700F">
        <w:rPr>
          <w:rFonts w:ascii="Times New Roman" w:hAnsi="Times New Roman" w:cs="Times New Roman"/>
          <w:color w:val="000000"/>
        </w:rPr>
        <w:t>.</w:t>
      </w:r>
    </w:p>
    <w:p w:rsidR="002878E0" w:rsidRPr="0032700F" w:rsidRDefault="002878E0" w:rsidP="002878E0">
      <w:pPr>
        <w:spacing w:line="480" w:lineRule="auto"/>
        <w:rPr>
          <w:rFonts w:ascii="Times New Roman" w:hAnsi="Times New Roman" w:cs="Times New Roman"/>
        </w:rPr>
      </w:pPr>
    </w:p>
    <w:p w:rsidR="008A7671" w:rsidRPr="0032700F" w:rsidRDefault="00B50861" w:rsidP="00B50861">
      <w:pPr>
        <w:spacing w:line="480" w:lineRule="auto"/>
        <w:ind w:firstLine="540"/>
        <w:rPr>
          <w:rFonts w:ascii="Times New Roman" w:hAnsi="Times New Roman" w:cs="Times New Roman"/>
          <w:color w:val="000000"/>
        </w:rPr>
      </w:pPr>
      <w:r w:rsidRPr="0032700F">
        <w:rPr>
          <w:rFonts w:ascii="Times New Roman" w:hAnsi="Times New Roman" w:cs="Times New Roman"/>
        </w:rPr>
        <w:t xml:space="preserve">Similar to and often in conjunction with student affairs and sports management, researchers in collegiate recreation have grappled with the concept of finding a professional identity for their field.  Dr. William Wasson pioneered efforts to progressively pursue professional standards when he founded the National Intramural Association </w:t>
      </w:r>
      <w:r w:rsidR="00AD382D" w:rsidRPr="0032700F">
        <w:rPr>
          <w:rFonts w:ascii="Times New Roman" w:hAnsi="Times New Roman" w:cs="Times New Roman"/>
        </w:rPr>
        <w:t>(History (NIRSA))</w:t>
      </w:r>
      <w:r w:rsidR="001C7DFE" w:rsidRPr="0032700F">
        <w:rPr>
          <w:rFonts w:ascii="Times New Roman" w:hAnsi="Times New Roman" w:cs="Times New Roman"/>
        </w:rPr>
        <w:t xml:space="preserve"> which has gone through several identity changes but now operates under the name NIRSA: Leaders in Collegiate Recreation</w:t>
      </w:r>
      <w:r w:rsidR="00AD382D" w:rsidRPr="0032700F">
        <w:rPr>
          <w:rFonts w:ascii="Times New Roman" w:hAnsi="Times New Roman" w:cs="Times New Roman"/>
        </w:rPr>
        <w:t xml:space="preserve">  and is known simply as NIRSA</w:t>
      </w:r>
      <w:r w:rsidR="001C7DFE" w:rsidRPr="0032700F">
        <w:rPr>
          <w:rFonts w:ascii="Times New Roman" w:hAnsi="Times New Roman" w:cs="Times New Roman"/>
        </w:rPr>
        <w:t>.</w:t>
      </w:r>
      <w:r w:rsidR="00825C97" w:rsidRPr="0032700F">
        <w:rPr>
          <w:rFonts w:ascii="Times New Roman" w:hAnsi="Times New Roman" w:cs="Times New Roman"/>
        </w:rPr>
        <w:t xml:space="preserve"> Throughout the organizatio</w:t>
      </w:r>
      <w:r w:rsidR="001C7DFE" w:rsidRPr="0032700F">
        <w:rPr>
          <w:rFonts w:ascii="Times New Roman" w:hAnsi="Times New Roman" w:cs="Times New Roman"/>
        </w:rPr>
        <w:t>n’s journey towards professionalization of the collegiate recreation industry</w:t>
      </w:r>
      <w:r w:rsidR="00825C97" w:rsidRPr="0032700F">
        <w:rPr>
          <w:rFonts w:ascii="Times New Roman" w:hAnsi="Times New Roman" w:cs="Times New Roman"/>
        </w:rPr>
        <w:t xml:space="preserve">, the various name changes and re-focusing of the organization’s mission are indicative of this struggle to reach consensus on what it means to be a collegiate recreation professional.  Are we professionals in the sport industry </w:t>
      </w:r>
      <w:r w:rsidR="00A652C0" w:rsidRPr="0032700F">
        <w:rPr>
          <w:rFonts w:ascii="Times New Roman" w:hAnsi="Times New Roman" w:cs="Times New Roman"/>
        </w:rPr>
        <w:t xml:space="preserve">that happen to work in higher education </w:t>
      </w:r>
      <w:r w:rsidR="00825C97" w:rsidRPr="0032700F">
        <w:rPr>
          <w:rFonts w:ascii="Times New Roman" w:hAnsi="Times New Roman" w:cs="Times New Roman"/>
        </w:rPr>
        <w:t>or are we professionals of student affairs work in higher education</w:t>
      </w:r>
      <w:r w:rsidR="00A652C0" w:rsidRPr="0032700F">
        <w:rPr>
          <w:rFonts w:ascii="Times New Roman" w:hAnsi="Times New Roman" w:cs="Times New Roman"/>
        </w:rPr>
        <w:t xml:space="preserve"> that just happen to focus on sports and recreation</w:t>
      </w:r>
      <w:r w:rsidR="00825C97" w:rsidRPr="0032700F">
        <w:rPr>
          <w:rFonts w:ascii="Times New Roman" w:hAnsi="Times New Roman" w:cs="Times New Roman"/>
        </w:rPr>
        <w:t xml:space="preserve">?  </w:t>
      </w:r>
      <w:r w:rsidR="00A652C0" w:rsidRPr="0032700F">
        <w:rPr>
          <w:rFonts w:ascii="Times New Roman" w:hAnsi="Times New Roman" w:cs="Times New Roman"/>
        </w:rPr>
        <w:t>The answer, as evidenced by the stated core competencies for NIRSA professionals (</w:t>
      </w:r>
      <w:r w:rsidR="002354A9">
        <w:rPr>
          <w:rFonts w:ascii="Times New Roman" w:hAnsi="Times New Roman" w:cs="Times New Roman"/>
        </w:rPr>
        <w:t>Core Competencies (NIRSA)</w:t>
      </w:r>
      <w:r w:rsidR="00A652C0" w:rsidRPr="0032700F">
        <w:rPr>
          <w:rFonts w:ascii="Times New Roman" w:hAnsi="Times New Roman" w:cs="Times New Roman"/>
        </w:rPr>
        <w:t xml:space="preserve">), seems to be that both are true. </w:t>
      </w:r>
      <w:r w:rsidR="008A7671" w:rsidRPr="0032700F">
        <w:rPr>
          <w:rFonts w:ascii="Times New Roman" w:hAnsi="Times New Roman" w:cs="Times New Roman"/>
          <w:color w:val="000000"/>
        </w:rPr>
        <w:t>These core competencies include</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philosophy and theory;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programming; </w:t>
      </w:r>
    </w:p>
    <w:p w:rsidR="008A7671" w:rsidRPr="0032700F" w:rsidRDefault="00EF66FF"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human resources </w:t>
      </w:r>
      <w:r w:rsidR="008A7671" w:rsidRPr="0032700F">
        <w:rPr>
          <w:rFonts w:ascii="Times New Roman" w:hAnsi="Times New Roman" w:cs="Times New Roman"/>
          <w:color w:val="000000"/>
        </w:rPr>
        <w:t>m</w:t>
      </w:r>
      <w:r w:rsidRPr="0032700F">
        <w:rPr>
          <w:rFonts w:ascii="Times New Roman" w:hAnsi="Times New Roman" w:cs="Times New Roman"/>
          <w:color w:val="000000"/>
        </w:rPr>
        <w:t>anagement</w:t>
      </w:r>
      <w:r w:rsidR="008A7671" w:rsidRPr="0032700F">
        <w:rPr>
          <w:rFonts w:ascii="Times New Roman" w:hAnsi="Times New Roman" w:cs="Times New Roman"/>
          <w:color w:val="000000"/>
        </w:rPr>
        <w:t xml:space="preserve">;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business </w:t>
      </w:r>
      <w:r w:rsidR="00EF66FF" w:rsidRPr="0032700F">
        <w:rPr>
          <w:rFonts w:ascii="Times New Roman" w:hAnsi="Times New Roman" w:cs="Times New Roman"/>
          <w:color w:val="000000"/>
        </w:rPr>
        <w:t>management</w:t>
      </w:r>
      <w:r w:rsidRPr="0032700F">
        <w:rPr>
          <w:rFonts w:ascii="Times New Roman" w:hAnsi="Times New Roman" w:cs="Times New Roman"/>
          <w:color w:val="000000"/>
        </w:rPr>
        <w:t xml:space="preserve">;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facility management, planning, and design;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 xml:space="preserve">research and evaluation;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lastRenderedPageBreak/>
        <w:t xml:space="preserve">legal liability and risk management; and, </w:t>
      </w:r>
    </w:p>
    <w:p w:rsidR="008A7671" w:rsidRPr="0032700F" w:rsidRDefault="008A7671" w:rsidP="008A7671">
      <w:pPr>
        <w:pStyle w:val="ListParagraph"/>
        <w:numPr>
          <w:ilvl w:val="0"/>
          <w:numId w:val="3"/>
        </w:numPr>
        <w:spacing w:line="480" w:lineRule="auto"/>
        <w:rPr>
          <w:rFonts w:ascii="Times New Roman" w:hAnsi="Times New Roman" w:cs="Times New Roman"/>
          <w:color w:val="000000"/>
        </w:rPr>
      </w:pPr>
      <w:r w:rsidRPr="0032700F">
        <w:rPr>
          <w:rFonts w:ascii="Times New Roman" w:hAnsi="Times New Roman" w:cs="Times New Roman"/>
          <w:color w:val="000000"/>
        </w:rPr>
        <w:t>personal and professional qualities (</w:t>
      </w:r>
      <w:r w:rsidR="00F67CA1" w:rsidRPr="0032700F">
        <w:rPr>
          <w:rFonts w:ascii="Times New Roman" w:hAnsi="Times New Roman" w:cs="Times New Roman"/>
          <w:color w:val="000000"/>
        </w:rPr>
        <w:t>Core Competencies (NIRSA)</w:t>
      </w:r>
      <w:r w:rsidRPr="0032700F">
        <w:rPr>
          <w:rFonts w:ascii="Times New Roman" w:hAnsi="Times New Roman" w:cs="Times New Roman"/>
          <w:color w:val="000000"/>
        </w:rPr>
        <w:t xml:space="preserve">) </w:t>
      </w:r>
    </w:p>
    <w:p w:rsidR="00383235" w:rsidRPr="0032700F" w:rsidRDefault="00A652C0" w:rsidP="00383235">
      <w:pPr>
        <w:spacing w:line="480" w:lineRule="auto"/>
        <w:rPr>
          <w:rFonts w:ascii="Times New Roman" w:hAnsi="Times New Roman" w:cs="Times New Roman"/>
        </w:rPr>
      </w:pPr>
      <w:r w:rsidRPr="0032700F">
        <w:rPr>
          <w:rFonts w:ascii="Times New Roman" w:hAnsi="Times New Roman" w:cs="Times New Roman"/>
        </w:rPr>
        <w:t xml:space="preserve">Of the eight listed competencies several of them align with the lists from ACPA and NASPA guiding student affairs work and several align with the various competencies identified in the various areas of the sports industry mentioned previously. </w:t>
      </w:r>
      <w:r w:rsidR="009929AF" w:rsidRPr="0032700F">
        <w:rPr>
          <w:rFonts w:ascii="Times New Roman" w:hAnsi="Times New Roman" w:cs="Times New Roman"/>
        </w:rPr>
        <w:t xml:space="preserve">  In short, to be successful in NIRSA, you must be both an effective educator as well as proficient in sport industry practices. </w:t>
      </w:r>
    </w:p>
    <w:p w:rsidR="002E7FF2" w:rsidRPr="0032700F" w:rsidRDefault="00383235" w:rsidP="00383235">
      <w:pPr>
        <w:spacing w:line="480" w:lineRule="auto"/>
        <w:rPr>
          <w:rFonts w:ascii="Times New Roman" w:hAnsi="Times New Roman" w:cs="Times New Roman"/>
          <w:color w:val="000000"/>
        </w:rPr>
      </w:pPr>
      <w:r w:rsidRPr="0032700F">
        <w:rPr>
          <w:rFonts w:ascii="Times New Roman" w:hAnsi="Times New Roman" w:cs="Times New Roman"/>
        </w:rPr>
        <w:tab/>
        <w:t>With the establishment of the NIRSA Registry and the associated competencies, collegiate recreation now meets Wrenn and Darley’s</w:t>
      </w:r>
      <w:r w:rsidR="002E7FF2" w:rsidRPr="0032700F">
        <w:rPr>
          <w:rFonts w:ascii="Times New Roman" w:hAnsi="Times New Roman" w:cs="Times New Roman"/>
        </w:rPr>
        <w:t xml:space="preserve"> (1949)</w:t>
      </w:r>
      <w:r w:rsidR="00F67CA1" w:rsidRPr="0032700F">
        <w:rPr>
          <w:rFonts w:ascii="Times New Roman" w:hAnsi="Times New Roman" w:cs="Times New Roman"/>
        </w:rPr>
        <w:t xml:space="preserve"> requirement for</w:t>
      </w:r>
      <w:r w:rsidRPr="0032700F">
        <w:rPr>
          <w:rFonts w:ascii="Times New Roman" w:hAnsi="Times New Roman" w:cs="Times New Roman"/>
        </w:rPr>
        <w:t xml:space="preserve"> </w:t>
      </w:r>
      <w:r w:rsidRPr="0032700F">
        <w:rPr>
          <w:rFonts w:ascii="Times New Roman" w:hAnsi="Times New Roman" w:cs="Times New Roman"/>
          <w:color w:val="000000"/>
        </w:rPr>
        <w:t>“the application of standards for selection and training”. They are, in most cases, general competencies that apply to all management positions in recreational sports and are targeted at entry level as well as seasoned professionals. Thus, it can be argued that these core competencies should be inclu</w:t>
      </w:r>
      <w:r w:rsidR="00F67CA1" w:rsidRPr="0032700F">
        <w:rPr>
          <w:rFonts w:ascii="Times New Roman" w:hAnsi="Times New Roman" w:cs="Times New Roman"/>
          <w:color w:val="000000"/>
        </w:rPr>
        <w:t>ded in professional as well as pre-professional</w:t>
      </w:r>
      <w:r w:rsidRPr="0032700F">
        <w:rPr>
          <w:rFonts w:ascii="Times New Roman" w:hAnsi="Times New Roman" w:cs="Times New Roman"/>
          <w:color w:val="000000"/>
        </w:rPr>
        <w:t xml:space="preserve"> or graduate assistantship postings. These core competencies were developed </w:t>
      </w:r>
      <w:r w:rsidR="00F67CA1" w:rsidRPr="0032700F">
        <w:rPr>
          <w:rFonts w:ascii="Times New Roman" w:hAnsi="Times New Roman" w:cs="Times New Roman"/>
          <w:color w:val="000000"/>
        </w:rPr>
        <w:t xml:space="preserve">in part </w:t>
      </w:r>
      <w:r w:rsidRPr="0032700F">
        <w:rPr>
          <w:rFonts w:ascii="Times New Roman" w:hAnsi="Times New Roman" w:cs="Times New Roman"/>
          <w:color w:val="000000"/>
        </w:rPr>
        <w:t xml:space="preserve">to encourage collegiate recreational sports professionals to continue their professional development over the course of their careers.  </w:t>
      </w:r>
      <w:r w:rsidR="002E7FF2" w:rsidRPr="0032700F">
        <w:rPr>
          <w:rFonts w:ascii="Times New Roman" w:hAnsi="Times New Roman" w:cs="Times New Roman"/>
          <w:color w:val="000000"/>
        </w:rPr>
        <w:t>As important as this</w:t>
      </w:r>
      <w:r w:rsidRPr="0032700F">
        <w:rPr>
          <w:rFonts w:ascii="Times New Roman" w:hAnsi="Times New Roman" w:cs="Times New Roman"/>
          <w:color w:val="000000"/>
        </w:rPr>
        <w:t xml:space="preserve"> system of self directed learning and advancement </w:t>
      </w:r>
      <w:r w:rsidR="002E7FF2" w:rsidRPr="0032700F">
        <w:rPr>
          <w:rFonts w:ascii="Times New Roman" w:hAnsi="Times New Roman" w:cs="Times New Roman"/>
          <w:color w:val="000000"/>
        </w:rPr>
        <w:t xml:space="preserve">is </w:t>
      </w:r>
      <w:r w:rsidRPr="0032700F">
        <w:rPr>
          <w:rFonts w:ascii="Times New Roman" w:hAnsi="Times New Roman" w:cs="Times New Roman"/>
          <w:color w:val="000000"/>
        </w:rPr>
        <w:t xml:space="preserve">for industry professionals it </w:t>
      </w:r>
      <w:r w:rsidR="002E7FF2" w:rsidRPr="0032700F">
        <w:rPr>
          <w:rFonts w:ascii="Times New Roman" w:hAnsi="Times New Roman" w:cs="Times New Roman"/>
          <w:color w:val="000000"/>
        </w:rPr>
        <w:t xml:space="preserve">is important to consider the implication of the competencies when facilitating the intentional design of a graduate assistant’s work experience in your department. If it is an expectation that young professionals in the field have skills in each of the eight competencies, then it should be expected that the environment that our graduate assistants work in is expanding proficiencies in those eight areas. </w:t>
      </w:r>
    </w:p>
    <w:p w:rsidR="0010535C" w:rsidRPr="0032700F" w:rsidRDefault="002E7FF2" w:rsidP="00383235">
      <w:pPr>
        <w:spacing w:line="480" w:lineRule="auto"/>
        <w:rPr>
          <w:rFonts w:ascii="Times New Roman" w:hAnsi="Times New Roman" w:cs="Times New Roman"/>
          <w:color w:val="000000"/>
        </w:rPr>
      </w:pPr>
      <w:r w:rsidRPr="0032700F">
        <w:rPr>
          <w:rFonts w:ascii="Times New Roman" w:hAnsi="Times New Roman" w:cs="Times New Roman"/>
          <w:color w:val="000000"/>
        </w:rPr>
        <w:tab/>
        <w:t>Thankfully, willing partners exist in our graduate faculty for the shaping of learning experiences for our graduate assistants.  If our goal is to develop these students and</w:t>
      </w:r>
      <w:r w:rsidR="0010535C" w:rsidRPr="0032700F">
        <w:rPr>
          <w:rFonts w:ascii="Times New Roman" w:hAnsi="Times New Roman" w:cs="Times New Roman"/>
          <w:color w:val="000000"/>
        </w:rPr>
        <w:t xml:space="preserve"> emerging professionals in the</w:t>
      </w:r>
      <w:r w:rsidRPr="0032700F">
        <w:rPr>
          <w:rFonts w:ascii="Times New Roman" w:hAnsi="Times New Roman" w:cs="Times New Roman"/>
          <w:color w:val="000000"/>
        </w:rPr>
        <w:t xml:space="preserve"> eight competency areas it is critical to examine which competencies are </w:t>
      </w:r>
      <w:r w:rsidRPr="0032700F">
        <w:rPr>
          <w:rFonts w:ascii="Times New Roman" w:hAnsi="Times New Roman" w:cs="Times New Roman"/>
          <w:color w:val="000000"/>
        </w:rPr>
        <w:lastRenderedPageBreak/>
        <w:t xml:space="preserve">already being covered </w:t>
      </w:r>
      <w:r w:rsidR="0010535C" w:rsidRPr="0032700F">
        <w:rPr>
          <w:rFonts w:ascii="Times New Roman" w:hAnsi="Times New Roman" w:cs="Times New Roman"/>
          <w:color w:val="000000"/>
        </w:rPr>
        <w:t xml:space="preserve">in </w:t>
      </w:r>
      <w:r w:rsidRPr="0032700F">
        <w:rPr>
          <w:rFonts w:ascii="Times New Roman" w:hAnsi="Times New Roman" w:cs="Times New Roman"/>
          <w:color w:val="000000"/>
        </w:rPr>
        <w:t>their graduate programs.  For the purpose of examining this further we are working on the assumption th</w:t>
      </w:r>
      <w:r w:rsidR="0010535C" w:rsidRPr="0032700F">
        <w:rPr>
          <w:rFonts w:ascii="Times New Roman" w:hAnsi="Times New Roman" w:cs="Times New Roman"/>
          <w:color w:val="000000"/>
        </w:rPr>
        <w:t>at most graduate assistants</w:t>
      </w:r>
      <w:r w:rsidRPr="0032700F">
        <w:rPr>
          <w:rFonts w:ascii="Times New Roman" w:hAnsi="Times New Roman" w:cs="Times New Roman"/>
          <w:color w:val="000000"/>
        </w:rPr>
        <w:t xml:space="preserve"> pursuing a career in collegiate recreation are </w:t>
      </w:r>
      <w:r w:rsidR="0010535C" w:rsidRPr="0032700F">
        <w:rPr>
          <w:rFonts w:ascii="Times New Roman" w:hAnsi="Times New Roman" w:cs="Times New Roman"/>
          <w:color w:val="000000"/>
        </w:rPr>
        <w:t>in academic disciplines</w:t>
      </w:r>
      <w:r w:rsidRPr="0032700F">
        <w:rPr>
          <w:rFonts w:ascii="Times New Roman" w:hAnsi="Times New Roman" w:cs="Times New Roman"/>
          <w:color w:val="000000"/>
        </w:rPr>
        <w:t xml:space="preserve"> similar to either sports management or student affairs in higher education.  </w:t>
      </w:r>
      <w:r w:rsidR="00B707CC" w:rsidRPr="0032700F">
        <w:rPr>
          <w:rFonts w:ascii="Times New Roman" w:hAnsi="Times New Roman" w:cs="Times New Roman"/>
          <w:color w:val="000000"/>
        </w:rPr>
        <w:t xml:space="preserve">As there are very few degree programs that specifically address preparation for collegiate recreation students seem to choose one of these two options as the most relatable. </w:t>
      </w:r>
      <w:r w:rsidR="0010535C" w:rsidRPr="0032700F">
        <w:rPr>
          <w:rFonts w:ascii="Times New Roman" w:hAnsi="Times New Roman" w:cs="Times New Roman"/>
          <w:color w:val="000000"/>
        </w:rPr>
        <w:t xml:space="preserve">By exploring the curricula of graduate programs in these two areas it can be determined which competencies will be addressed effectively in the classroom and which may need to be intentionally reinforced through the assistantship experience. </w:t>
      </w:r>
      <w:r w:rsidRPr="0032700F">
        <w:rPr>
          <w:rFonts w:ascii="Times New Roman" w:hAnsi="Times New Roman" w:cs="Times New Roman"/>
          <w:color w:val="000000"/>
        </w:rPr>
        <w:t>If you have graduate assistants in other programs</w:t>
      </w:r>
      <w:r w:rsidR="0010535C" w:rsidRPr="0032700F">
        <w:rPr>
          <w:rFonts w:ascii="Times New Roman" w:hAnsi="Times New Roman" w:cs="Times New Roman"/>
          <w:color w:val="000000"/>
        </w:rPr>
        <w:t xml:space="preserve"> it would be equally or perhaps more critical that you examine which of the eight state core competencies in the NIRSA Registry are covered by their academic program.  </w:t>
      </w:r>
    </w:p>
    <w:p w:rsidR="00C4732D" w:rsidRPr="0032700F" w:rsidRDefault="0010535C" w:rsidP="00B27C0C">
      <w:pPr>
        <w:spacing w:line="480" w:lineRule="auto"/>
        <w:rPr>
          <w:rFonts w:ascii="Times New Roman" w:hAnsi="Times New Roman" w:cs="Times New Roman"/>
        </w:rPr>
      </w:pPr>
      <w:r w:rsidRPr="0032700F">
        <w:rPr>
          <w:rFonts w:ascii="Times New Roman" w:hAnsi="Times New Roman" w:cs="Times New Roman"/>
          <w:color w:val="000000"/>
        </w:rPr>
        <w:tab/>
        <w:t xml:space="preserve">The </w:t>
      </w:r>
      <w:r w:rsidR="00E218E6" w:rsidRPr="0032700F">
        <w:rPr>
          <w:rFonts w:ascii="Times New Roman" w:hAnsi="Times New Roman" w:cs="Times New Roman"/>
          <w:color w:val="000000"/>
        </w:rPr>
        <w:t>Council for Advancement of Standards in Higher Education (CAS) has established a detailed list of expectations for what they refer to as “</w:t>
      </w:r>
      <w:r w:rsidR="00E218E6" w:rsidRPr="0032700F">
        <w:rPr>
          <w:rFonts w:ascii="Times New Roman" w:hAnsi="Times New Roman" w:cs="Times New Roman"/>
        </w:rPr>
        <w:t xml:space="preserve">Masters-Level Student Affairs Professional Preparation Programs” (CAS, 2012).  As a guiding force for </w:t>
      </w:r>
      <w:r w:rsidR="00B27C0C" w:rsidRPr="0032700F">
        <w:rPr>
          <w:rFonts w:ascii="Times New Roman" w:hAnsi="Times New Roman" w:cs="Times New Roman"/>
        </w:rPr>
        <w:t xml:space="preserve">developing curriculum </w:t>
      </w:r>
      <w:r w:rsidR="00E218E6" w:rsidRPr="0032700F">
        <w:rPr>
          <w:rFonts w:ascii="Times New Roman" w:hAnsi="Times New Roman" w:cs="Times New Roman"/>
        </w:rPr>
        <w:t xml:space="preserve">requirements for related academic programs this document is being used to offer insight to which of the eight NIRSA competencies are likely being addressed in student affairs related graduate programs.  </w:t>
      </w:r>
      <w:r w:rsidR="00B27C0C" w:rsidRPr="0032700F">
        <w:rPr>
          <w:rFonts w:ascii="Times New Roman" w:hAnsi="Times New Roman" w:cs="Times New Roman"/>
        </w:rPr>
        <w:t xml:space="preserve">The document lists three basic curriculum requirements, each with their own sub categories and descriptors. Those three basic requirements are (a) foundational studies, (b) professional studies and (c) supervised practice.  By mapping these requirements to each of the eight NIRSA competencies we learn that while students in these programs will gain significant experience with: </w:t>
      </w:r>
      <w:r w:rsidR="000255BD" w:rsidRPr="0032700F">
        <w:rPr>
          <w:rFonts w:ascii="Times New Roman" w:hAnsi="Times New Roman" w:cs="Times New Roman"/>
        </w:rPr>
        <w:t>human resources management</w:t>
      </w:r>
      <w:r w:rsidR="00B27C0C" w:rsidRPr="0032700F">
        <w:rPr>
          <w:rFonts w:ascii="Times New Roman" w:hAnsi="Times New Roman" w:cs="Times New Roman"/>
        </w:rPr>
        <w:t>; research and evaluation; programming techniques and practices; philosophy and theory; and development of personal and professional qualities.  However, this same mapping exercises shows that</w:t>
      </w:r>
      <w:r w:rsidR="000255BD" w:rsidRPr="0032700F">
        <w:rPr>
          <w:rFonts w:ascii="Times New Roman" w:hAnsi="Times New Roman" w:cs="Times New Roman"/>
        </w:rPr>
        <w:t xml:space="preserve"> </w:t>
      </w:r>
      <w:r w:rsidR="00B27C0C" w:rsidRPr="0032700F">
        <w:rPr>
          <w:rFonts w:ascii="Times New Roman" w:hAnsi="Times New Roman" w:cs="Times New Roman"/>
        </w:rPr>
        <w:t xml:space="preserve">a student affairs graduate program will likely </w:t>
      </w:r>
      <w:r w:rsidR="00B27C0C" w:rsidRPr="0032700F">
        <w:rPr>
          <w:rFonts w:ascii="Times New Roman" w:hAnsi="Times New Roman" w:cs="Times New Roman"/>
        </w:rPr>
        <w:lastRenderedPageBreak/>
        <w:t xml:space="preserve">not address </w:t>
      </w:r>
      <w:r w:rsidR="00C4732D" w:rsidRPr="0032700F">
        <w:rPr>
          <w:rFonts w:ascii="Times New Roman" w:hAnsi="Times New Roman" w:cs="Times New Roman"/>
        </w:rPr>
        <w:t xml:space="preserve">business procedures, facility management and planning or legal liability and risk management issues in significant detail. </w:t>
      </w:r>
    </w:p>
    <w:p w:rsidR="008425EA" w:rsidRPr="0032700F" w:rsidRDefault="00C4732D" w:rsidP="00B27C0C">
      <w:pPr>
        <w:spacing w:line="480" w:lineRule="auto"/>
        <w:rPr>
          <w:rFonts w:ascii="Times New Roman" w:hAnsi="Times New Roman" w:cs="Times New Roman"/>
        </w:rPr>
      </w:pPr>
      <w:r w:rsidRPr="0032700F">
        <w:rPr>
          <w:rFonts w:ascii="Times New Roman" w:hAnsi="Times New Roman" w:cs="Times New Roman"/>
        </w:rPr>
        <w:tab/>
        <w:t xml:space="preserve">The Commission on Sports Management Accreditation (COSMA) offers program specific accreditation for undergraduate, graduate and doctoral level programs in </w:t>
      </w:r>
      <w:r w:rsidR="007D4844" w:rsidRPr="0032700F">
        <w:rPr>
          <w:rFonts w:ascii="Times New Roman" w:hAnsi="Times New Roman" w:cs="Times New Roman"/>
        </w:rPr>
        <w:t>sports management.  Their 2010 accreditation princ</w:t>
      </w:r>
      <w:r w:rsidR="008425EA" w:rsidRPr="0032700F">
        <w:rPr>
          <w:rFonts w:ascii="Times New Roman" w:hAnsi="Times New Roman" w:cs="Times New Roman"/>
        </w:rPr>
        <w:t>i</w:t>
      </w:r>
      <w:r w:rsidR="007D4844" w:rsidRPr="0032700F">
        <w:rPr>
          <w:rFonts w:ascii="Times New Roman" w:hAnsi="Times New Roman" w:cs="Times New Roman"/>
        </w:rPr>
        <w:t>ples and self study preparation document identifies seven “common professional components” (COSMA, 2010).  Those components are</w:t>
      </w:r>
      <w:r w:rsidR="008425EA" w:rsidRPr="0032700F">
        <w:rPr>
          <w:rFonts w:ascii="Times New Roman" w:hAnsi="Times New Roman" w:cs="Times New Roman"/>
        </w:rPr>
        <w:t>:</w:t>
      </w:r>
      <w:r w:rsidR="007D4844" w:rsidRPr="0032700F">
        <w:rPr>
          <w:rFonts w:ascii="Times New Roman" w:hAnsi="Times New Roman" w:cs="Times New Roman"/>
        </w:rPr>
        <w:t xml:space="preserve"> (a) social, psychological and international; (b) sports management principles; (c) ethics in sports management; (d) sports marketing and communication; (e) finance, accounting and economics; (f)</w:t>
      </w:r>
      <w:r w:rsidR="008425EA" w:rsidRPr="0032700F">
        <w:rPr>
          <w:rFonts w:ascii="Times New Roman" w:hAnsi="Times New Roman" w:cs="Times New Roman"/>
        </w:rPr>
        <w:t xml:space="preserve"> legal aspects; and (g) integrative experience.  Mapping these seven components to the NIRSA competencies indicates that students in these programs would be well versed in business procedures, legal liability and risk management and philosophy and theory.  The following areas may need to receive some extra attention as part of the assistantship experience: facility management, planning and design; </w:t>
      </w:r>
      <w:r w:rsidR="000255BD" w:rsidRPr="0032700F">
        <w:rPr>
          <w:rFonts w:ascii="Times New Roman" w:hAnsi="Times New Roman" w:cs="Times New Roman"/>
        </w:rPr>
        <w:t>human resources management</w:t>
      </w:r>
      <w:r w:rsidR="008425EA" w:rsidRPr="0032700F">
        <w:rPr>
          <w:rFonts w:ascii="Times New Roman" w:hAnsi="Times New Roman" w:cs="Times New Roman"/>
        </w:rPr>
        <w:t xml:space="preserve">t, research and evaluation, personal and professional qualities; and programming. </w:t>
      </w:r>
    </w:p>
    <w:p w:rsidR="00B707CC" w:rsidRPr="0032700F" w:rsidRDefault="008425EA" w:rsidP="008425EA">
      <w:pPr>
        <w:spacing w:line="480" w:lineRule="auto"/>
        <w:ind w:firstLine="540"/>
        <w:rPr>
          <w:rFonts w:ascii="Times New Roman" w:hAnsi="Times New Roman" w:cs="Times New Roman"/>
        </w:rPr>
      </w:pPr>
      <w:r w:rsidRPr="0032700F">
        <w:rPr>
          <w:rFonts w:ascii="Times New Roman" w:hAnsi="Times New Roman" w:cs="Times New Roman"/>
        </w:rPr>
        <w:t>A notable part of the COSMA accreditation process for a master’s program is that of the 30 credit hours required only half of those credit hours are required to be offered through the sports management program (2010).  The other 15 credit hours can be electives as defined by the program or the students.  This considerable flexibility would allow for a graduate assistant to intentionally address some of the educational gaps through focusing their electives on higher education administration coursework or even business management practices that would tailor their degree towards the NIRSA compete</w:t>
      </w:r>
      <w:r w:rsidR="00B707CC" w:rsidRPr="0032700F">
        <w:rPr>
          <w:rFonts w:ascii="Times New Roman" w:hAnsi="Times New Roman" w:cs="Times New Roman"/>
        </w:rPr>
        <w:t>n</w:t>
      </w:r>
      <w:r w:rsidRPr="0032700F">
        <w:rPr>
          <w:rFonts w:ascii="Times New Roman" w:hAnsi="Times New Roman" w:cs="Times New Roman"/>
        </w:rPr>
        <w:t xml:space="preserve">cies.  </w:t>
      </w:r>
    </w:p>
    <w:p w:rsidR="00B27C0C" w:rsidRPr="0032700F" w:rsidRDefault="00B707CC" w:rsidP="008425EA">
      <w:pPr>
        <w:spacing w:line="480" w:lineRule="auto"/>
        <w:ind w:firstLine="540"/>
        <w:rPr>
          <w:rFonts w:ascii="Times New Roman" w:hAnsi="Times New Roman" w:cs="Times New Roman"/>
        </w:rPr>
      </w:pPr>
      <w:r w:rsidRPr="0032700F">
        <w:rPr>
          <w:rFonts w:ascii="Times New Roman" w:hAnsi="Times New Roman" w:cs="Times New Roman"/>
        </w:rPr>
        <w:t>By understanding which NIR</w:t>
      </w:r>
      <w:r w:rsidR="00513844" w:rsidRPr="0032700F">
        <w:rPr>
          <w:rFonts w:ascii="Times New Roman" w:hAnsi="Times New Roman" w:cs="Times New Roman"/>
        </w:rPr>
        <w:t xml:space="preserve">SA competencies are either adequately or inadequately </w:t>
      </w:r>
      <w:r w:rsidRPr="0032700F">
        <w:rPr>
          <w:rFonts w:ascii="Times New Roman" w:hAnsi="Times New Roman" w:cs="Times New Roman"/>
        </w:rPr>
        <w:t xml:space="preserve">developed through the graduate program that graduate assistants are </w:t>
      </w:r>
      <w:r w:rsidR="00513844" w:rsidRPr="0032700F">
        <w:rPr>
          <w:rFonts w:ascii="Times New Roman" w:hAnsi="Times New Roman" w:cs="Times New Roman"/>
        </w:rPr>
        <w:t xml:space="preserve">enrolled </w:t>
      </w:r>
      <w:r w:rsidRPr="0032700F">
        <w:rPr>
          <w:rFonts w:ascii="Times New Roman" w:hAnsi="Times New Roman" w:cs="Times New Roman"/>
        </w:rPr>
        <w:t xml:space="preserve">in we can </w:t>
      </w:r>
      <w:r w:rsidR="00513844" w:rsidRPr="0032700F">
        <w:rPr>
          <w:rFonts w:ascii="Times New Roman" w:hAnsi="Times New Roman" w:cs="Times New Roman"/>
        </w:rPr>
        <w:lastRenderedPageBreak/>
        <w:t xml:space="preserve">intentionally design assistantship experiences that ensure each of the eight listed areas are addressed.  The implications of successfully designing and mapping a graduate assistantship to the NIRSA competencies touch our collegiate recreation on both local and more global levels.  The advancement of our field towards a solidly defined profession would certainly be bolstered by the intentional development of an assistantship based on these set standards.  More locally, the graduate assistants in your department will have a more active role in their development and should certainly be better prepared for a successful transition into a professional position. </w:t>
      </w:r>
    </w:p>
    <w:p w:rsidR="000305EF" w:rsidRPr="0032700F" w:rsidRDefault="00513844" w:rsidP="00B707CC">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 xml:space="preserve">With the successful transition of graduate assistants to profession positions as a priority, it is critical to understand how working towards competency development may give these students and advantage. </w:t>
      </w:r>
      <w:r w:rsidR="004E5F8D" w:rsidRPr="0032700F">
        <w:rPr>
          <w:rFonts w:ascii="Times New Roman" w:hAnsi="Times New Roman" w:cs="Times New Roman"/>
          <w:color w:val="000000"/>
        </w:rPr>
        <w:t xml:space="preserve">The NIRSA core competencies are said to be relevant at most if not all stages of our professional careers. </w:t>
      </w:r>
      <w:r w:rsidR="000305EF" w:rsidRPr="0032700F">
        <w:rPr>
          <w:rFonts w:ascii="Times New Roman" w:hAnsi="Times New Roman" w:cs="Times New Roman"/>
          <w:color w:val="000000"/>
        </w:rPr>
        <w:t>However, as several researchers have found, at different levels of professional development one or more of these competencies is emphasized over the others (Barcelona, 2004; Barcelona &amp; Ross, 2004; Schneider, et al., 2006).  Knowing where recreational sports administrators’ place this emphasis would be helpful to students seeking these positions as well as “…ensur[ing] that all those involved in hiring focus on the same elements and ask questions that are competency based rather than education and job history based” (p. 47, Hurd, 2005).    </w:t>
      </w:r>
    </w:p>
    <w:p w:rsidR="000305EF" w:rsidRPr="0032700F" w:rsidRDefault="000305EF" w:rsidP="000305EF">
      <w:pPr>
        <w:spacing w:line="480" w:lineRule="auto"/>
        <w:ind w:firstLine="540"/>
        <w:rPr>
          <w:rFonts w:ascii="Times New Roman" w:hAnsi="Times New Roman" w:cs="Times New Roman"/>
        </w:rPr>
      </w:pPr>
      <w:r w:rsidRPr="0032700F">
        <w:rPr>
          <w:rFonts w:ascii="Times New Roman" w:hAnsi="Times New Roman" w:cs="Times New Roman"/>
          <w:color w:val="000000"/>
        </w:rPr>
        <w:t xml:space="preserve">Schneider, et al. (2006) focused on the characteristics, attributes, and competencies of new hires for professional positions, graduate assistantships, and student employee positions. They surveyed campus recreation directors using an 18 item questionnaire with a 5-point Likert scale (1 = irrelevant to 5 = essential).  For graduate assistantships the top five characteristics, attributes, and competencies deemed “important” to “very important” were: 1) neat overall appearance (4.10); 2) excellent language/speaking skills (3.99); 3) excellent writing skills (3.72); </w:t>
      </w:r>
      <w:r w:rsidRPr="0032700F">
        <w:rPr>
          <w:rFonts w:ascii="Times New Roman" w:hAnsi="Times New Roman" w:cs="Times New Roman"/>
          <w:color w:val="000000"/>
        </w:rPr>
        <w:lastRenderedPageBreak/>
        <w:t xml:space="preserve">4) prior experience in campus recreation (3.65); and, 5) CPR certification (3.64) [p. 150, Schneider, et al.]. Interestingly, the top five characteristics, attributes, and competencies for new professionals were strikingly similar: 1) excellent language/speaking skills (4.38); 2) prior experience in campus recreation (4.33); 3) neat overall appearance (4.29); 4) excellent writing skills (4.24); and, 5) possession of graduate degree (4.10) [p. 150].  In both cases, campus recreation directors rated CRSS certification as “irrelevant” to “not very important” (1.58) for graduate assistant positions or “not very important” for newly hired professionals (2.35) [p. 150]. The researchers concluded from their results that overall campus recreation directors “…value job applicants at all levels who have excellent communication skills and prior experience in campus recreation” (p. 152, Schneider, et al., 2006). </w:t>
      </w:r>
    </w:p>
    <w:p w:rsidR="000305EF" w:rsidRPr="0032700F" w:rsidRDefault="000305EF" w:rsidP="00EF66FF">
      <w:pPr>
        <w:spacing w:line="480" w:lineRule="auto"/>
        <w:ind w:firstLine="540"/>
        <w:rPr>
          <w:rFonts w:ascii="Times New Roman" w:hAnsi="Times New Roman" w:cs="Times New Roman"/>
          <w:color w:val="000000"/>
        </w:rPr>
      </w:pPr>
      <w:r w:rsidRPr="0032700F">
        <w:rPr>
          <w:rFonts w:ascii="Times New Roman" w:hAnsi="Times New Roman" w:cs="Times New Roman"/>
          <w:color w:val="000000"/>
        </w:rPr>
        <w:t>In light of Schneider et al.’s (2006) findings and Hurd’s (2005) contention that hiring questions should be focused on competencies rather than education and job history it is particular</w:t>
      </w:r>
      <w:r w:rsidR="000255BD" w:rsidRPr="0032700F">
        <w:rPr>
          <w:rFonts w:ascii="Times New Roman" w:hAnsi="Times New Roman" w:cs="Times New Roman"/>
          <w:color w:val="000000"/>
        </w:rPr>
        <w:t>ly relevant to examine NIRSA’s</w:t>
      </w:r>
      <w:r w:rsidR="004E5F8D" w:rsidRPr="0032700F">
        <w:rPr>
          <w:rFonts w:ascii="Times New Roman" w:hAnsi="Times New Roman" w:cs="Times New Roman"/>
          <w:color w:val="000000"/>
        </w:rPr>
        <w:t xml:space="preserve"> s</w:t>
      </w:r>
      <w:r w:rsidRPr="0032700F">
        <w:rPr>
          <w:rFonts w:ascii="Times New Roman" w:hAnsi="Times New Roman" w:cs="Times New Roman"/>
          <w:color w:val="000000"/>
        </w:rPr>
        <w:t xml:space="preserve">tated set of core competencies </w:t>
      </w:r>
      <w:r w:rsidR="004E5F8D" w:rsidRPr="0032700F">
        <w:rPr>
          <w:rFonts w:ascii="Times New Roman" w:hAnsi="Times New Roman" w:cs="Times New Roman"/>
          <w:color w:val="000000"/>
        </w:rPr>
        <w:t xml:space="preserve">and </w:t>
      </w:r>
      <w:r w:rsidRPr="0032700F">
        <w:rPr>
          <w:rFonts w:ascii="Times New Roman" w:hAnsi="Times New Roman" w:cs="Times New Roman"/>
          <w:color w:val="000000"/>
        </w:rPr>
        <w:t xml:space="preserve">for recreational sports professionals to analyze if these competencies are listed in graduate assistantship postings. </w:t>
      </w:r>
      <w:r w:rsidR="004E5F8D" w:rsidRPr="0032700F">
        <w:rPr>
          <w:rFonts w:ascii="Times New Roman" w:hAnsi="Times New Roman" w:cs="Times New Roman"/>
          <w:color w:val="000000"/>
        </w:rPr>
        <w:t xml:space="preserve"> If graduate assistant position descriptions are void of or lacking evidence that the core competencies will be developed through the assistantship it serves to ensure that our graduate students will have a confused perspective on what skills are critical for success in this field.  </w:t>
      </w:r>
      <w:r w:rsidRPr="0032700F">
        <w:rPr>
          <w:rFonts w:ascii="Times New Roman" w:hAnsi="Times New Roman" w:cs="Times New Roman"/>
          <w:color w:val="000000"/>
        </w:rPr>
        <w:t>Thus, it can be argued that these core competencies should be inclu</w:t>
      </w:r>
      <w:r w:rsidR="000255BD" w:rsidRPr="0032700F">
        <w:rPr>
          <w:rFonts w:ascii="Times New Roman" w:hAnsi="Times New Roman" w:cs="Times New Roman"/>
          <w:color w:val="000000"/>
        </w:rPr>
        <w:t>ded in professional as well as pre-professional</w:t>
      </w:r>
      <w:r w:rsidRPr="0032700F">
        <w:rPr>
          <w:rFonts w:ascii="Times New Roman" w:hAnsi="Times New Roman" w:cs="Times New Roman"/>
          <w:color w:val="000000"/>
        </w:rPr>
        <w:t xml:space="preserve"> or graduate assistantship postings. Further, the relative importance of each of these eight core competencies may vary according to each program area since graduate assistants are typically hired to wor</w:t>
      </w:r>
      <w:r w:rsidR="00EF66FF" w:rsidRPr="0032700F">
        <w:rPr>
          <w:rFonts w:ascii="Times New Roman" w:hAnsi="Times New Roman" w:cs="Times New Roman"/>
          <w:color w:val="000000"/>
        </w:rPr>
        <w:t>k in one specific program area.</w:t>
      </w:r>
      <w:r w:rsidR="000255BD" w:rsidRPr="0032700F">
        <w:rPr>
          <w:rFonts w:ascii="Times New Roman" w:hAnsi="Times New Roman" w:cs="Times New Roman"/>
          <w:color w:val="000000"/>
        </w:rPr>
        <w:t xml:space="preserve">  NIRSA refers to these program areas as communities of practice. </w:t>
      </w:r>
    </w:p>
    <w:p w:rsidR="0099652B" w:rsidRPr="0032700F" w:rsidRDefault="0099652B" w:rsidP="0099652B">
      <w:pPr>
        <w:spacing w:line="480" w:lineRule="auto"/>
        <w:ind w:firstLine="540"/>
        <w:jc w:val="center"/>
        <w:rPr>
          <w:rFonts w:ascii="Times New Roman" w:hAnsi="Times New Roman" w:cs="Times New Roman"/>
          <w:b/>
        </w:rPr>
      </w:pPr>
      <w:r w:rsidRPr="0032700F">
        <w:rPr>
          <w:rFonts w:ascii="Times New Roman" w:hAnsi="Times New Roman" w:cs="Times New Roman"/>
          <w:b/>
        </w:rPr>
        <w:t>Methodology</w:t>
      </w:r>
    </w:p>
    <w:p w:rsidR="009F6F45" w:rsidRPr="0032700F" w:rsidRDefault="00C3319F" w:rsidP="0099652B">
      <w:pPr>
        <w:spacing w:line="480" w:lineRule="auto"/>
        <w:ind w:firstLine="540"/>
        <w:rPr>
          <w:rFonts w:ascii="Times New Roman" w:hAnsi="Times New Roman" w:cs="Times New Roman"/>
        </w:rPr>
      </w:pPr>
      <w:r w:rsidRPr="0032700F">
        <w:rPr>
          <w:rFonts w:ascii="Times New Roman" w:hAnsi="Times New Roman" w:cs="Times New Roman"/>
        </w:rPr>
        <w:lastRenderedPageBreak/>
        <w:t>With a primary goal of examining competency development for graduate assistants in the field of collegiate recreation it was determined that a content analysis of assistantshi</w:t>
      </w:r>
      <w:r w:rsidR="00E765A9" w:rsidRPr="0032700F">
        <w:rPr>
          <w:rFonts w:ascii="Times New Roman" w:hAnsi="Times New Roman" w:cs="Times New Roman"/>
        </w:rPr>
        <w:t>p position postings would yield impactful data.  While a content analysis is most often used as a means of coding interpersonal and mass media communications, Krippendorff  (1989) clarified that “Anything that occurs in sufficient numbers and has reasonably stable meanings for a specific group of people may be subject to a content analysis.”  In this case it was determined that our data set of graduate assistant postings was large enough to confidently represent the field of collegiate recreation.  In addition, the language, format and somewhat standardized approach to posting a position opening within this field are widely known and recognized</w:t>
      </w:r>
      <w:r w:rsidR="009F6F45" w:rsidRPr="0032700F">
        <w:rPr>
          <w:rFonts w:ascii="Times New Roman" w:hAnsi="Times New Roman" w:cs="Times New Roman"/>
        </w:rPr>
        <w:t xml:space="preserve">, or “stable” as Krippendorff stated, </w:t>
      </w:r>
      <w:r w:rsidR="00E765A9" w:rsidRPr="0032700F">
        <w:rPr>
          <w:rFonts w:ascii="Times New Roman" w:hAnsi="Times New Roman" w:cs="Times New Roman"/>
        </w:rPr>
        <w:t xml:space="preserve"> by professionals in this field.  </w:t>
      </w:r>
    </w:p>
    <w:p w:rsidR="00153A3F" w:rsidRPr="0032700F" w:rsidRDefault="009F6F45" w:rsidP="0099652B">
      <w:pPr>
        <w:spacing w:line="480" w:lineRule="auto"/>
        <w:ind w:firstLine="720"/>
        <w:rPr>
          <w:rFonts w:ascii="Times New Roman" w:hAnsi="Times New Roman" w:cs="Times New Roman"/>
        </w:rPr>
      </w:pPr>
      <w:r w:rsidRPr="0032700F">
        <w:rPr>
          <w:rFonts w:ascii="Times New Roman" w:hAnsi="Times New Roman" w:cs="Times New Roman"/>
        </w:rPr>
        <w:t>This method of data collection is further supported in precedence by similar work conducted in the field of library sciences.  In their 2014 work, “Competencies and Responsibilities of Social Science Data Librarians: An Analysis of Job Descriptions, Xia and Wang used a content analysis to measure the then current status of responsibilities and required competencies</w:t>
      </w:r>
      <w:r w:rsidR="006F4C66" w:rsidRPr="0032700F">
        <w:rPr>
          <w:rFonts w:ascii="Times New Roman" w:hAnsi="Times New Roman" w:cs="Times New Roman"/>
        </w:rPr>
        <w:t xml:space="preserve"> for professionals</w:t>
      </w:r>
      <w:r w:rsidRPr="0032700F">
        <w:rPr>
          <w:rFonts w:ascii="Times New Roman" w:hAnsi="Times New Roman" w:cs="Times New Roman"/>
        </w:rPr>
        <w:t xml:space="preserve"> in quickly changing field. </w:t>
      </w:r>
      <w:r w:rsidR="006F4C66" w:rsidRPr="0032700F">
        <w:rPr>
          <w:rFonts w:ascii="Times New Roman" w:hAnsi="Times New Roman" w:cs="Times New Roman"/>
        </w:rPr>
        <w:t xml:space="preserve"> Their approach was highly quantitative and involved processes they referred to as “text grouping and tag clouding” (Xia &amp; Wang, 2014).  Essentially, they identified a very specific set of words that they believed reflected evidence of various predetermined competencies and then used a software program to count how often those words were used in their data set of position descriptions.  Their process increased the scientific rigor of the study as using software to count specific words is highly reliable.  As Krippendorff (1989) put it, “Human coders tend to be unreliable but at interpreting semantically complex texts.”</w:t>
      </w:r>
      <w:r w:rsidR="00A46319" w:rsidRPr="0032700F">
        <w:rPr>
          <w:rFonts w:ascii="Times New Roman" w:hAnsi="Times New Roman" w:cs="Times New Roman"/>
        </w:rPr>
        <w:t xml:space="preserve">   Siegfried Kracauer (1952-1953) discussed the ways in which many content analysis approaches use aspects of both qualitative and quantitative methods to achieve </w:t>
      </w:r>
      <w:r w:rsidR="00A46319" w:rsidRPr="0032700F">
        <w:rPr>
          <w:rFonts w:ascii="Times New Roman" w:hAnsi="Times New Roman" w:cs="Times New Roman"/>
        </w:rPr>
        <w:lastRenderedPageBreak/>
        <w:t xml:space="preserve">scientifically relevant results but allow for researcher interpretation when needed.  With a desire to allow for contextual interpretation it was determined that a quantitative tally system would be used by a human conduct the content analysis. </w:t>
      </w:r>
    </w:p>
    <w:p w:rsidR="007F492A" w:rsidRPr="0032700F" w:rsidRDefault="009D4055" w:rsidP="0099652B">
      <w:pPr>
        <w:spacing w:line="480" w:lineRule="auto"/>
        <w:rPr>
          <w:rFonts w:ascii="Times New Roman" w:hAnsi="Times New Roman" w:cs="Times New Roman"/>
        </w:rPr>
      </w:pPr>
      <w:r w:rsidRPr="0032700F">
        <w:rPr>
          <w:rFonts w:ascii="Times New Roman" w:hAnsi="Times New Roman" w:cs="Times New Roman"/>
        </w:rPr>
        <w:tab/>
      </w:r>
      <w:r w:rsidR="00327A82" w:rsidRPr="0032700F">
        <w:rPr>
          <w:rFonts w:ascii="Times New Roman" w:hAnsi="Times New Roman" w:cs="Times New Roman"/>
        </w:rPr>
        <w:t xml:space="preserve">The </w:t>
      </w:r>
      <w:r w:rsidR="008E1265" w:rsidRPr="0032700F">
        <w:rPr>
          <w:rFonts w:ascii="Times New Roman" w:hAnsi="Times New Roman" w:cs="Times New Roman"/>
        </w:rPr>
        <w:t>data set that was</w:t>
      </w:r>
      <w:r w:rsidR="00327A82" w:rsidRPr="0032700F">
        <w:rPr>
          <w:rFonts w:ascii="Times New Roman" w:hAnsi="Times New Roman" w:cs="Times New Roman"/>
        </w:rPr>
        <w:t xml:space="preserve"> a</w:t>
      </w:r>
      <w:r w:rsidR="009F6F45" w:rsidRPr="0032700F">
        <w:rPr>
          <w:rFonts w:ascii="Times New Roman" w:hAnsi="Times New Roman" w:cs="Times New Roman"/>
        </w:rPr>
        <w:t>nalyzed for this study were</w:t>
      </w:r>
      <w:r w:rsidR="00327A82" w:rsidRPr="0032700F">
        <w:rPr>
          <w:rFonts w:ascii="Times New Roman" w:hAnsi="Times New Roman" w:cs="Times New Roman"/>
        </w:rPr>
        <w:t xml:space="preserve"> position </w:t>
      </w:r>
      <w:r w:rsidR="009F6F45" w:rsidRPr="0032700F">
        <w:rPr>
          <w:rFonts w:ascii="Times New Roman" w:hAnsi="Times New Roman" w:cs="Times New Roman"/>
        </w:rPr>
        <w:t>postings for graduate a</w:t>
      </w:r>
      <w:r w:rsidR="00327A82" w:rsidRPr="0032700F">
        <w:rPr>
          <w:rFonts w:ascii="Times New Roman" w:hAnsi="Times New Roman" w:cs="Times New Roman"/>
        </w:rPr>
        <w:t xml:space="preserve">ssistantships in the field of collegiate recreation.  </w:t>
      </w:r>
      <w:r w:rsidR="008E1265" w:rsidRPr="0032700F">
        <w:rPr>
          <w:rFonts w:ascii="Times New Roman" w:hAnsi="Times New Roman" w:cs="Times New Roman"/>
        </w:rPr>
        <w:t>Efforts were made t</w:t>
      </w:r>
      <w:r w:rsidR="00327A82" w:rsidRPr="0032700F">
        <w:rPr>
          <w:rFonts w:ascii="Times New Roman" w:hAnsi="Times New Roman" w:cs="Times New Roman"/>
        </w:rPr>
        <w:t>o ensure that the collection of position postings</w:t>
      </w:r>
      <w:r w:rsidR="008E1265" w:rsidRPr="0032700F">
        <w:rPr>
          <w:rFonts w:ascii="Times New Roman" w:hAnsi="Times New Roman" w:cs="Times New Roman"/>
        </w:rPr>
        <w:t xml:space="preserve"> was accurately representative of all of the graduate assistantship positions that exist in the field.  </w:t>
      </w:r>
      <w:r w:rsidR="00B3541F" w:rsidRPr="0032700F">
        <w:rPr>
          <w:rFonts w:ascii="Times New Roman" w:hAnsi="Times New Roman" w:cs="Times New Roman"/>
        </w:rPr>
        <w:t xml:space="preserve">While there are a number of ways for collegiate recreation programs to post graduate assistant positions the most common method is a web based posting on bluefishjobs.com, the career opportunity arm of NIRSA. Following a request for data, NIRSA agreed to partner with this study and provided </w:t>
      </w:r>
      <w:r w:rsidR="00FD44AD" w:rsidRPr="0032700F">
        <w:rPr>
          <w:rFonts w:ascii="Times New Roman" w:hAnsi="Times New Roman" w:cs="Times New Roman"/>
        </w:rPr>
        <w:t>a comprehensive database of every graduate assistantship that was posted on bluefishjobs.com for the calendar year between August 1</w:t>
      </w:r>
      <w:r w:rsidR="00FD44AD" w:rsidRPr="0032700F">
        <w:rPr>
          <w:rFonts w:ascii="Times New Roman" w:hAnsi="Times New Roman" w:cs="Times New Roman"/>
          <w:vertAlign w:val="superscript"/>
        </w:rPr>
        <w:t>st</w:t>
      </w:r>
      <w:r w:rsidR="00FD44AD" w:rsidRPr="0032700F">
        <w:rPr>
          <w:rFonts w:ascii="Times New Roman" w:hAnsi="Times New Roman" w:cs="Times New Roman"/>
        </w:rPr>
        <w:t xml:space="preserve">, 2013 and July </w:t>
      </w:r>
      <w:r w:rsidR="00FD56B3" w:rsidRPr="0032700F">
        <w:rPr>
          <w:rFonts w:ascii="Times New Roman" w:hAnsi="Times New Roman" w:cs="Times New Roman"/>
        </w:rPr>
        <w:t>31</w:t>
      </w:r>
      <w:r w:rsidR="00FD56B3" w:rsidRPr="0032700F">
        <w:rPr>
          <w:rFonts w:ascii="Times New Roman" w:hAnsi="Times New Roman" w:cs="Times New Roman"/>
          <w:vertAlign w:val="superscript"/>
        </w:rPr>
        <w:t>st</w:t>
      </w:r>
      <w:r w:rsidR="00FD44AD" w:rsidRPr="0032700F">
        <w:rPr>
          <w:rFonts w:ascii="Times New Roman" w:hAnsi="Times New Roman" w:cs="Times New Roman"/>
        </w:rPr>
        <w:t>, 2014.</w:t>
      </w:r>
      <w:r w:rsidR="00D9092E" w:rsidRPr="0032700F">
        <w:rPr>
          <w:rFonts w:ascii="Times New Roman" w:hAnsi="Times New Roman" w:cs="Times New Roman"/>
        </w:rPr>
        <w:t xml:space="preserve"> There was no sampling process employed in this study as every available posting was included in the data set for analysis.</w:t>
      </w:r>
    </w:p>
    <w:p w:rsidR="009D4055" w:rsidRPr="0032700F" w:rsidRDefault="00FD44AD" w:rsidP="007F492A">
      <w:pPr>
        <w:spacing w:line="480" w:lineRule="auto"/>
        <w:ind w:firstLine="720"/>
        <w:rPr>
          <w:rFonts w:ascii="Times New Roman" w:hAnsi="Times New Roman" w:cs="Times New Roman"/>
        </w:rPr>
      </w:pPr>
      <w:r w:rsidRPr="0032700F">
        <w:rPr>
          <w:rFonts w:ascii="Times New Roman" w:hAnsi="Times New Roman" w:cs="Times New Roman"/>
        </w:rPr>
        <w:t xml:space="preserve"> </w:t>
      </w:r>
      <w:r w:rsidR="00153A3F" w:rsidRPr="0032700F">
        <w:rPr>
          <w:rFonts w:ascii="Times New Roman" w:hAnsi="Times New Roman" w:cs="Times New Roman"/>
        </w:rPr>
        <w:t xml:space="preserve"> As part of the posting process on bluefishjobs.com, hiring institutions must indicate what type of position they are posting which allowed the data to be easily filtered by “graduate assistant”. Additionally, </w:t>
      </w:r>
      <w:r w:rsidR="007F492A" w:rsidRPr="0032700F">
        <w:rPr>
          <w:rFonts w:ascii="Times New Roman" w:hAnsi="Times New Roman" w:cs="Times New Roman"/>
        </w:rPr>
        <w:t>the fields of “position description” and “requirements” were fields to be completed in the posting process.  This systematic process for listing positions on the website provided an highly consistent set of data as it encouraged individuals to post similar information about each position regardless of their institution or personal preferences.  As an added measure of validity, each posting was reviewed and only verified</w:t>
      </w:r>
      <w:r w:rsidR="00153A3F" w:rsidRPr="0032700F">
        <w:rPr>
          <w:rFonts w:ascii="Times New Roman" w:hAnsi="Times New Roman" w:cs="Times New Roman"/>
        </w:rPr>
        <w:t xml:space="preserve"> as graduate assistantships</w:t>
      </w:r>
      <w:r w:rsidRPr="0032700F">
        <w:rPr>
          <w:rFonts w:ascii="Times New Roman" w:hAnsi="Times New Roman" w:cs="Times New Roman"/>
        </w:rPr>
        <w:t xml:space="preserve"> if they included both a stipend and graduate tuition remission as remuneration for a part time employment commitment. </w:t>
      </w:r>
      <w:r w:rsidR="004075EC" w:rsidRPr="0032700F">
        <w:rPr>
          <w:rFonts w:ascii="Times New Roman" w:hAnsi="Times New Roman" w:cs="Times New Roman"/>
        </w:rPr>
        <w:t xml:space="preserve"> To clarify, if a position only included a stipend or hourly wage as </w:t>
      </w:r>
      <w:r w:rsidR="004075EC" w:rsidRPr="0032700F">
        <w:rPr>
          <w:rFonts w:ascii="Times New Roman" w:hAnsi="Times New Roman" w:cs="Times New Roman"/>
        </w:rPr>
        <w:lastRenderedPageBreak/>
        <w:t xml:space="preserve">remuneration this position was not included in our data set as it was not viewed as a co-curricular experience as we have defined a graduate assistantship. </w:t>
      </w:r>
    </w:p>
    <w:p w:rsidR="002E7B98" w:rsidRPr="0032700F" w:rsidRDefault="002E7B98" w:rsidP="009D4055">
      <w:pPr>
        <w:spacing w:line="480" w:lineRule="auto"/>
        <w:rPr>
          <w:rFonts w:ascii="Times New Roman" w:hAnsi="Times New Roman" w:cs="Times New Roman"/>
        </w:rPr>
      </w:pPr>
      <w:r w:rsidRPr="0032700F">
        <w:rPr>
          <w:rFonts w:ascii="Times New Roman" w:hAnsi="Times New Roman" w:cs="Times New Roman"/>
        </w:rPr>
        <w:tab/>
      </w:r>
      <w:r w:rsidR="00BC37AF" w:rsidRPr="0032700F">
        <w:rPr>
          <w:rFonts w:ascii="Times New Roman" w:hAnsi="Times New Roman" w:cs="Times New Roman"/>
        </w:rPr>
        <w:t>The initial set included 255</w:t>
      </w:r>
      <w:r w:rsidRPr="0032700F">
        <w:rPr>
          <w:rFonts w:ascii="Times New Roman" w:hAnsi="Times New Roman" w:cs="Times New Roman"/>
        </w:rPr>
        <w:t xml:space="preserve"> position postings for the time frame listed.  These postings were from 173 different </w:t>
      </w:r>
      <w:r w:rsidR="004075EC" w:rsidRPr="0032700F">
        <w:rPr>
          <w:rFonts w:ascii="Times New Roman" w:hAnsi="Times New Roman" w:cs="Times New Roman"/>
        </w:rPr>
        <w:t>colleges and universities across the United States and Canada. For the purpose of further narrowing future implications of this study those</w:t>
      </w:r>
      <w:r w:rsidR="00BC37AF" w:rsidRPr="0032700F">
        <w:rPr>
          <w:rFonts w:ascii="Times New Roman" w:hAnsi="Times New Roman" w:cs="Times New Roman"/>
        </w:rPr>
        <w:t xml:space="preserve"> 255</w:t>
      </w:r>
      <w:r w:rsidR="004075EC" w:rsidRPr="0032700F">
        <w:rPr>
          <w:rFonts w:ascii="Times New Roman" w:hAnsi="Times New Roman" w:cs="Times New Roman"/>
        </w:rPr>
        <w:t xml:space="preserve"> postings were categorized into seven different communities of practice, or areas of specialization, within the field of collegiate recreation.  NIRSA currently identifies 14 communities of practice but six of the 14 areas of specialization were not significantly represented in the position postings provided in the data set.  The communities of practice that were represented in the data set includ</w:t>
      </w:r>
      <w:r w:rsidR="00BC37AF" w:rsidRPr="0032700F">
        <w:rPr>
          <w:rFonts w:ascii="Times New Roman" w:hAnsi="Times New Roman" w:cs="Times New Roman"/>
        </w:rPr>
        <w:t>e: aquatics; facilities; fitness; intramural sports; marketing; outdoor recreation; and sport clubs.  An additional category, not listed in the NIRSA communities of practice, was added after consulting with NIRSA staff.  This area, competitive sports, represents a combination of intramural sports and sport clubs into one combine</w:t>
      </w:r>
      <w:r w:rsidR="00D9092E" w:rsidRPr="0032700F">
        <w:rPr>
          <w:rFonts w:ascii="Times New Roman" w:hAnsi="Times New Roman" w:cs="Times New Roman"/>
        </w:rPr>
        <w:t>d</w:t>
      </w:r>
      <w:r w:rsidR="00BC37AF" w:rsidRPr="0032700F">
        <w:rPr>
          <w:rFonts w:ascii="Times New Roman" w:hAnsi="Times New Roman" w:cs="Times New Roman"/>
        </w:rPr>
        <w:t xml:space="preserve"> area of specialization. This category was added on the basis that a significant number of postings listed competitive sports as the </w:t>
      </w:r>
      <w:r w:rsidR="00D9092E" w:rsidRPr="0032700F">
        <w:rPr>
          <w:rFonts w:ascii="Times New Roman" w:hAnsi="Times New Roman" w:cs="Times New Roman"/>
        </w:rPr>
        <w:t xml:space="preserve">area of specialization and is reflective of a trend in the industry to combine intramural sports and sport clubs into one functional area. </w:t>
      </w:r>
      <w:r w:rsidR="00BC37AF" w:rsidRPr="0032700F">
        <w:rPr>
          <w:rFonts w:ascii="Times New Roman" w:hAnsi="Times New Roman" w:cs="Times New Roman"/>
        </w:rPr>
        <w:t xml:space="preserve"> </w:t>
      </w:r>
    </w:p>
    <w:p w:rsidR="00FD56B3" w:rsidRPr="0032700F" w:rsidRDefault="00BC37AF" w:rsidP="009D4055">
      <w:pPr>
        <w:spacing w:line="480" w:lineRule="auto"/>
        <w:rPr>
          <w:rFonts w:ascii="Times New Roman" w:hAnsi="Times New Roman" w:cs="Times New Roman"/>
        </w:rPr>
      </w:pPr>
      <w:r w:rsidRPr="0032700F">
        <w:rPr>
          <w:rFonts w:ascii="Times New Roman" w:hAnsi="Times New Roman" w:cs="Times New Roman"/>
        </w:rPr>
        <w:tab/>
      </w:r>
      <w:r w:rsidR="00D9092E" w:rsidRPr="0032700F">
        <w:rPr>
          <w:rFonts w:ascii="Times New Roman" w:hAnsi="Times New Roman" w:cs="Times New Roman"/>
        </w:rPr>
        <w:t xml:space="preserve">Position descriptions that were either </w:t>
      </w:r>
      <w:r w:rsidRPr="0032700F">
        <w:rPr>
          <w:rFonts w:ascii="Times New Roman" w:hAnsi="Times New Roman" w:cs="Times New Roman"/>
        </w:rPr>
        <w:t xml:space="preserve">not </w:t>
      </w:r>
      <w:r w:rsidR="00D9092E" w:rsidRPr="0032700F">
        <w:rPr>
          <w:rFonts w:ascii="Times New Roman" w:hAnsi="Times New Roman" w:cs="Times New Roman"/>
        </w:rPr>
        <w:t>affiliated to</w:t>
      </w:r>
      <w:r w:rsidR="00FD56B3" w:rsidRPr="0032700F">
        <w:rPr>
          <w:rFonts w:ascii="Times New Roman" w:hAnsi="Times New Roman" w:cs="Times New Roman"/>
        </w:rPr>
        <w:t xml:space="preserve"> one of the communities of practice</w:t>
      </w:r>
      <w:r w:rsidR="00153A3F" w:rsidRPr="0032700F">
        <w:rPr>
          <w:rFonts w:ascii="Times New Roman" w:hAnsi="Times New Roman" w:cs="Times New Roman"/>
        </w:rPr>
        <w:t xml:space="preserve">, </w:t>
      </w:r>
      <w:r w:rsidR="00D9092E" w:rsidRPr="0032700F">
        <w:rPr>
          <w:rFonts w:ascii="Times New Roman" w:hAnsi="Times New Roman" w:cs="Times New Roman"/>
        </w:rPr>
        <w:t xml:space="preserve">were and outlier in that there were only one or two positions in the given are </w:t>
      </w:r>
      <w:r w:rsidR="00FD56B3" w:rsidRPr="0032700F">
        <w:rPr>
          <w:rFonts w:ascii="Times New Roman" w:hAnsi="Times New Roman" w:cs="Times New Roman"/>
        </w:rPr>
        <w:t xml:space="preserve">or that combined two different communities of practice into one position were excluded from the study.  In total, 28 positions were removed from data set as they did not fit into one of the eight </w:t>
      </w:r>
      <w:r w:rsidR="00D9092E" w:rsidRPr="0032700F">
        <w:rPr>
          <w:rFonts w:ascii="Times New Roman" w:hAnsi="Times New Roman" w:cs="Times New Roman"/>
        </w:rPr>
        <w:t>included</w:t>
      </w:r>
      <w:r w:rsidR="00FD56B3" w:rsidRPr="0032700F">
        <w:rPr>
          <w:rFonts w:ascii="Times New Roman" w:hAnsi="Times New Roman" w:cs="Times New Roman"/>
        </w:rPr>
        <w:t xml:space="preserve"> specializations. In addition 34 of the position </w:t>
      </w:r>
      <w:r w:rsidR="00D9092E" w:rsidRPr="0032700F">
        <w:rPr>
          <w:rFonts w:ascii="Times New Roman" w:hAnsi="Times New Roman" w:cs="Times New Roman"/>
        </w:rPr>
        <w:t xml:space="preserve">postings </w:t>
      </w:r>
      <w:r w:rsidR="00FD56B3" w:rsidRPr="0032700F">
        <w:rPr>
          <w:rFonts w:ascii="Times New Roman" w:hAnsi="Times New Roman" w:cs="Times New Roman"/>
        </w:rPr>
        <w:t xml:space="preserve">were incomplete and only listed the announcement of an opening with a link to the hiring institution’s website. These postings were also removed from the data set due to lack of valid information to analyze. </w:t>
      </w:r>
      <w:r w:rsidR="0003507F" w:rsidRPr="0032700F">
        <w:rPr>
          <w:rFonts w:ascii="Times New Roman" w:hAnsi="Times New Roman" w:cs="Times New Roman"/>
        </w:rPr>
        <w:t>Table 1 represents</w:t>
      </w:r>
      <w:r w:rsidR="00FD56B3" w:rsidRPr="0032700F">
        <w:rPr>
          <w:rFonts w:ascii="Times New Roman" w:hAnsi="Times New Roman" w:cs="Times New Roman"/>
        </w:rPr>
        <w:t xml:space="preserve"> the </w:t>
      </w:r>
      <w:r w:rsidR="00FD56B3" w:rsidRPr="0032700F">
        <w:rPr>
          <w:rFonts w:ascii="Times New Roman" w:hAnsi="Times New Roman" w:cs="Times New Roman"/>
        </w:rPr>
        <w:lastRenderedPageBreak/>
        <w:t>eight communities of practice and the respective number of postings to be included in our content analysis.</w:t>
      </w:r>
      <w:r w:rsidR="00A46319" w:rsidRPr="0032700F">
        <w:rPr>
          <w:rFonts w:ascii="Times New Roman" w:hAnsi="Times New Roman" w:cs="Times New Roman"/>
        </w:rPr>
        <w:t xml:space="preserve">  Once identified and sorted, the postings were organized into a spreadsheet with different tabs for</w:t>
      </w:r>
      <w:r w:rsidR="008252DB" w:rsidRPr="0032700F">
        <w:rPr>
          <w:rFonts w:ascii="Times New Roman" w:hAnsi="Times New Roman" w:cs="Times New Roman"/>
        </w:rPr>
        <w:t xml:space="preserve"> each community of practice.  Each posting included information under the fields of institution name, position title, position description and requirements.  Presumably to save of fees that are assessed per posting on the website, some institutions included two different positions in the same posting.  When this occurred, the data for each position posting was separated an included as an individual posting in the respective sheet for its affiliated community of practice. </w:t>
      </w:r>
    </w:p>
    <w:tbl>
      <w:tblPr>
        <w:tblStyle w:val="TableGrid"/>
        <w:tblW w:w="9730" w:type="dxa"/>
        <w:tblBorders>
          <w:insideH w:val="none" w:sz="0" w:space="0" w:color="auto"/>
          <w:insideV w:val="none" w:sz="0" w:space="0" w:color="auto"/>
        </w:tblBorders>
        <w:tblLook w:val="04A0" w:firstRow="1" w:lastRow="0" w:firstColumn="1" w:lastColumn="0" w:noHBand="0" w:noVBand="1"/>
      </w:tblPr>
      <w:tblGrid>
        <w:gridCol w:w="3033"/>
        <w:gridCol w:w="6697"/>
      </w:tblGrid>
      <w:tr w:rsidR="00153A3F" w:rsidRPr="0032700F" w:rsidTr="00C00E9F">
        <w:trPr>
          <w:trHeight w:val="160"/>
        </w:trPr>
        <w:tc>
          <w:tcPr>
            <w:tcW w:w="9730" w:type="dxa"/>
            <w:gridSpan w:val="2"/>
            <w:tcBorders>
              <w:top w:val="nil"/>
              <w:left w:val="nil"/>
              <w:bottom w:val="single" w:sz="4" w:space="0" w:color="auto"/>
              <w:right w:val="nil"/>
            </w:tcBorders>
          </w:tcPr>
          <w:p w:rsidR="00153A3F" w:rsidRPr="0032700F" w:rsidRDefault="00153A3F" w:rsidP="00153A3F">
            <w:pPr>
              <w:spacing w:line="276" w:lineRule="auto"/>
              <w:rPr>
                <w:rFonts w:ascii="Times New Roman" w:hAnsi="Times New Roman" w:cs="Times New Roman"/>
              </w:rPr>
            </w:pPr>
            <w:r w:rsidRPr="0032700F">
              <w:rPr>
                <w:rFonts w:ascii="Times New Roman" w:hAnsi="Times New Roman" w:cs="Times New Roman"/>
              </w:rPr>
              <w:t>Table 1.  Number of</w:t>
            </w:r>
            <w:r w:rsidR="00C00E9F" w:rsidRPr="0032700F">
              <w:rPr>
                <w:rFonts w:ascii="Times New Roman" w:hAnsi="Times New Roman" w:cs="Times New Roman"/>
              </w:rPr>
              <w:t xml:space="preserve"> and Percentage</w:t>
            </w:r>
            <w:r w:rsidRPr="0032700F">
              <w:rPr>
                <w:rFonts w:ascii="Times New Roman" w:hAnsi="Times New Roman" w:cs="Times New Roman"/>
              </w:rPr>
              <w:t xml:space="preserve"> Postings Per NIRSA Community of Practice</w:t>
            </w:r>
          </w:p>
        </w:tc>
      </w:tr>
      <w:tr w:rsidR="00FD56B3" w:rsidRPr="0032700F" w:rsidTr="00C00E9F">
        <w:trPr>
          <w:trHeight w:val="160"/>
        </w:trPr>
        <w:tc>
          <w:tcPr>
            <w:tcW w:w="3033" w:type="dxa"/>
            <w:tcBorders>
              <w:top w:val="single" w:sz="4" w:space="0" w:color="auto"/>
              <w:bottom w:val="single" w:sz="4" w:space="0" w:color="auto"/>
              <w:right w:val="nil"/>
            </w:tcBorders>
          </w:tcPr>
          <w:p w:rsidR="00FD56B3" w:rsidRPr="0032700F" w:rsidRDefault="0003507F" w:rsidP="0003507F">
            <w:pPr>
              <w:spacing w:line="276" w:lineRule="auto"/>
              <w:jc w:val="center"/>
              <w:rPr>
                <w:rFonts w:ascii="Times New Roman" w:hAnsi="Times New Roman" w:cs="Times New Roman"/>
              </w:rPr>
            </w:pPr>
            <w:r w:rsidRPr="0032700F">
              <w:rPr>
                <w:rFonts w:ascii="Times New Roman" w:hAnsi="Times New Roman" w:cs="Times New Roman"/>
              </w:rPr>
              <w:t>NIRSA community of p</w:t>
            </w:r>
            <w:r w:rsidR="00FD56B3" w:rsidRPr="0032700F">
              <w:rPr>
                <w:rFonts w:ascii="Times New Roman" w:hAnsi="Times New Roman" w:cs="Times New Roman"/>
              </w:rPr>
              <w:t>ractice</w:t>
            </w:r>
          </w:p>
        </w:tc>
        <w:tc>
          <w:tcPr>
            <w:tcW w:w="6697" w:type="dxa"/>
            <w:tcBorders>
              <w:top w:val="single" w:sz="4" w:space="0" w:color="auto"/>
              <w:left w:val="nil"/>
              <w:bottom w:val="single" w:sz="4" w:space="0" w:color="auto"/>
            </w:tcBorders>
          </w:tcPr>
          <w:p w:rsidR="00FD56B3" w:rsidRPr="0032700F" w:rsidRDefault="0003507F" w:rsidP="0003507F">
            <w:pPr>
              <w:spacing w:line="276" w:lineRule="auto"/>
              <w:jc w:val="center"/>
              <w:rPr>
                <w:rFonts w:ascii="Times New Roman" w:hAnsi="Times New Roman" w:cs="Times New Roman"/>
              </w:rPr>
            </w:pPr>
            <w:r w:rsidRPr="0032700F">
              <w:rPr>
                <w:rFonts w:ascii="Times New Roman" w:hAnsi="Times New Roman" w:cs="Times New Roman"/>
              </w:rPr>
              <w:t>Number of p</w:t>
            </w:r>
            <w:r w:rsidR="00FD56B3" w:rsidRPr="0032700F">
              <w:rPr>
                <w:rFonts w:ascii="Times New Roman" w:hAnsi="Times New Roman" w:cs="Times New Roman"/>
              </w:rPr>
              <w:t>ostings on bluefishjobs.com (8/1/13 – 7/31/14)</w:t>
            </w:r>
          </w:p>
        </w:tc>
      </w:tr>
      <w:tr w:rsidR="00FD56B3" w:rsidRPr="0032700F" w:rsidTr="00C00E9F">
        <w:trPr>
          <w:trHeight w:val="160"/>
        </w:trPr>
        <w:tc>
          <w:tcPr>
            <w:tcW w:w="3033" w:type="dxa"/>
            <w:tcBorders>
              <w:top w:val="single" w:sz="4" w:space="0" w:color="auto"/>
              <w:right w:val="single" w:sz="4" w:space="0" w:color="auto"/>
            </w:tcBorders>
          </w:tcPr>
          <w:p w:rsidR="00FD56B3" w:rsidRPr="0032700F" w:rsidRDefault="00FD56B3" w:rsidP="0003507F">
            <w:pPr>
              <w:spacing w:line="276" w:lineRule="auto"/>
              <w:jc w:val="right"/>
              <w:rPr>
                <w:rFonts w:ascii="Times New Roman" w:hAnsi="Times New Roman" w:cs="Times New Roman"/>
              </w:rPr>
            </w:pPr>
            <w:r w:rsidRPr="0032700F">
              <w:rPr>
                <w:rFonts w:ascii="Times New Roman" w:hAnsi="Times New Roman" w:cs="Times New Roman"/>
              </w:rPr>
              <w:t>Aquatics</w:t>
            </w:r>
          </w:p>
        </w:tc>
        <w:tc>
          <w:tcPr>
            <w:tcW w:w="6697" w:type="dxa"/>
            <w:tcBorders>
              <w:top w:val="single" w:sz="4" w:space="0" w:color="auto"/>
              <w:left w:val="single" w:sz="4" w:space="0" w:color="auto"/>
            </w:tcBorders>
          </w:tcPr>
          <w:p w:rsidR="00FD56B3" w:rsidRPr="0032700F" w:rsidRDefault="00FD56B3" w:rsidP="0003507F">
            <w:pPr>
              <w:spacing w:line="276" w:lineRule="auto"/>
              <w:rPr>
                <w:rFonts w:ascii="Times New Roman" w:hAnsi="Times New Roman" w:cs="Times New Roman"/>
              </w:rPr>
            </w:pPr>
            <w:r w:rsidRPr="0032700F">
              <w:rPr>
                <w:rFonts w:ascii="Times New Roman" w:hAnsi="Times New Roman" w:cs="Times New Roman"/>
              </w:rPr>
              <w:t>25</w:t>
            </w:r>
            <w:r w:rsidR="00C00E9F" w:rsidRPr="0032700F">
              <w:rPr>
                <w:rFonts w:ascii="Times New Roman" w:hAnsi="Times New Roman" w:cs="Times New Roman"/>
              </w:rPr>
              <w:t xml:space="preserve">   (13%)</w:t>
            </w:r>
          </w:p>
        </w:tc>
      </w:tr>
      <w:tr w:rsidR="00FD56B3" w:rsidRPr="0032700F" w:rsidTr="00C00E9F">
        <w:trPr>
          <w:trHeight w:val="160"/>
        </w:trPr>
        <w:tc>
          <w:tcPr>
            <w:tcW w:w="3033" w:type="dxa"/>
            <w:tcBorders>
              <w:right w:val="single" w:sz="4" w:space="0" w:color="auto"/>
            </w:tcBorders>
          </w:tcPr>
          <w:p w:rsidR="00FD56B3" w:rsidRPr="0032700F" w:rsidRDefault="00FD56B3" w:rsidP="0003507F">
            <w:pPr>
              <w:spacing w:line="276" w:lineRule="auto"/>
              <w:jc w:val="right"/>
              <w:rPr>
                <w:rFonts w:ascii="Times New Roman" w:hAnsi="Times New Roman" w:cs="Times New Roman"/>
              </w:rPr>
            </w:pPr>
            <w:r w:rsidRPr="0032700F">
              <w:rPr>
                <w:rFonts w:ascii="Times New Roman" w:hAnsi="Times New Roman" w:cs="Times New Roman"/>
              </w:rPr>
              <w:t>Competitive Sports</w:t>
            </w:r>
          </w:p>
        </w:tc>
        <w:tc>
          <w:tcPr>
            <w:tcW w:w="6697" w:type="dxa"/>
            <w:tcBorders>
              <w:left w:val="single" w:sz="4" w:space="0" w:color="auto"/>
            </w:tcBorders>
          </w:tcPr>
          <w:p w:rsidR="00C00E9F" w:rsidRPr="0032700F" w:rsidRDefault="00FD56B3" w:rsidP="0003507F">
            <w:pPr>
              <w:spacing w:line="276" w:lineRule="auto"/>
              <w:rPr>
                <w:rFonts w:ascii="Times New Roman" w:hAnsi="Times New Roman" w:cs="Times New Roman"/>
              </w:rPr>
            </w:pPr>
            <w:r w:rsidRPr="0032700F">
              <w:rPr>
                <w:rFonts w:ascii="Times New Roman" w:hAnsi="Times New Roman" w:cs="Times New Roman"/>
              </w:rPr>
              <w:t>24</w:t>
            </w:r>
            <w:r w:rsidR="00C00E9F" w:rsidRPr="0032700F">
              <w:rPr>
                <w:rFonts w:ascii="Times New Roman" w:hAnsi="Times New Roman" w:cs="Times New Roman"/>
              </w:rPr>
              <w:t xml:space="preserve">   (12%)</w:t>
            </w:r>
          </w:p>
        </w:tc>
      </w:tr>
      <w:tr w:rsidR="00FD56B3" w:rsidRPr="0032700F" w:rsidTr="00C00E9F">
        <w:trPr>
          <w:trHeight w:val="160"/>
        </w:trPr>
        <w:tc>
          <w:tcPr>
            <w:tcW w:w="3033" w:type="dxa"/>
            <w:tcBorders>
              <w:right w:val="single" w:sz="4" w:space="0" w:color="auto"/>
            </w:tcBorders>
          </w:tcPr>
          <w:p w:rsidR="00FD56B3"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 xml:space="preserve">Facilities </w:t>
            </w:r>
          </w:p>
        </w:tc>
        <w:tc>
          <w:tcPr>
            <w:tcW w:w="6697" w:type="dxa"/>
            <w:tcBorders>
              <w:left w:val="single" w:sz="4" w:space="0" w:color="auto"/>
            </w:tcBorders>
          </w:tcPr>
          <w:p w:rsidR="00FD56B3" w:rsidRPr="0032700F" w:rsidRDefault="0003507F" w:rsidP="0003507F">
            <w:pPr>
              <w:spacing w:line="276" w:lineRule="auto"/>
              <w:rPr>
                <w:rFonts w:ascii="Times New Roman" w:hAnsi="Times New Roman" w:cs="Times New Roman"/>
              </w:rPr>
            </w:pPr>
            <w:r w:rsidRPr="0032700F">
              <w:rPr>
                <w:rFonts w:ascii="Times New Roman" w:hAnsi="Times New Roman" w:cs="Times New Roman"/>
              </w:rPr>
              <w:t>35</w:t>
            </w:r>
            <w:r w:rsidR="00C00E9F" w:rsidRPr="0032700F">
              <w:rPr>
                <w:rFonts w:ascii="Times New Roman" w:hAnsi="Times New Roman" w:cs="Times New Roman"/>
              </w:rPr>
              <w:t xml:space="preserve">   (18%)</w:t>
            </w:r>
          </w:p>
        </w:tc>
      </w:tr>
      <w:tr w:rsidR="0003507F" w:rsidRPr="0032700F" w:rsidTr="00C00E9F">
        <w:trPr>
          <w:trHeight w:val="160"/>
        </w:trPr>
        <w:tc>
          <w:tcPr>
            <w:tcW w:w="3033" w:type="dxa"/>
            <w:tcBorders>
              <w:right w:val="single" w:sz="4" w:space="0" w:color="auto"/>
            </w:tcBorders>
          </w:tcPr>
          <w:p w:rsidR="0003507F"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Fitness</w:t>
            </w:r>
          </w:p>
        </w:tc>
        <w:tc>
          <w:tcPr>
            <w:tcW w:w="6697" w:type="dxa"/>
            <w:tcBorders>
              <w:left w:val="single" w:sz="4" w:space="0" w:color="auto"/>
            </w:tcBorders>
          </w:tcPr>
          <w:p w:rsidR="0003507F" w:rsidRPr="0032700F" w:rsidRDefault="0003507F" w:rsidP="0003507F">
            <w:pPr>
              <w:spacing w:line="276" w:lineRule="auto"/>
              <w:rPr>
                <w:rFonts w:ascii="Times New Roman" w:hAnsi="Times New Roman" w:cs="Times New Roman"/>
              </w:rPr>
            </w:pPr>
            <w:r w:rsidRPr="0032700F">
              <w:rPr>
                <w:rFonts w:ascii="Times New Roman" w:hAnsi="Times New Roman" w:cs="Times New Roman"/>
              </w:rPr>
              <w:t>35</w:t>
            </w:r>
            <w:r w:rsidR="00C00E9F" w:rsidRPr="0032700F">
              <w:rPr>
                <w:rFonts w:ascii="Times New Roman" w:hAnsi="Times New Roman" w:cs="Times New Roman"/>
              </w:rPr>
              <w:t xml:space="preserve">   (18%)</w:t>
            </w:r>
          </w:p>
        </w:tc>
      </w:tr>
      <w:tr w:rsidR="0003507F" w:rsidRPr="0032700F" w:rsidTr="00C00E9F">
        <w:trPr>
          <w:trHeight w:val="160"/>
        </w:trPr>
        <w:tc>
          <w:tcPr>
            <w:tcW w:w="3033" w:type="dxa"/>
            <w:tcBorders>
              <w:right w:val="single" w:sz="4" w:space="0" w:color="auto"/>
            </w:tcBorders>
          </w:tcPr>
          <w:p w:rsidR="0003507F"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Intramural Sports</w:t>
            </w:r>
          </w:p>
        </w:tc>
        <w:tc>
          <w:tcPr>
            <w:tcW w:w="6697" w:type="dxa"/>
            <w:tcBorders>
              <w:left w:val="single" w:sz="4" w:space="0" w:color="auto"/>
            </w:tcBorders>
          </w:tcPr>
          <w:p w:rsidR="0003507F" w:rsidRPr="0032700F" w:rsidRDefault="0003507F" w:rsidP="0003507F">
            <w:pPr>
              <w:spacing w:line="276" w:lineRule="auto"/>
              <w:rPr>
                <w:rFonts w:ascii="Times New Roman" w:hAnsi="Times New Roman" w:cs="Times New Roman"/>
              </w:rPr>
            </w:pPr>
            <w:r w:rsidRPr="0032700F">
              <w:rPr>
                <w:rFonts w:ascii="Times New Roman" w:hAnsi="Times New Roman" w:cs="Times New Roman"/>
              </w:rPr>
              <w:t>29</w:t>
            </w:r>
            <w:r w:rsidR="00C00E9F" w:rsidRPr="0032700F">
              <w:rPr>
                <w:rFonts w:ascii="Times New Roman" w:hAnsi="Times New Roman" w:cs="Times New Roman"/>
              </w:rPr>
              <w:t xml:space="preserve">   (15%)</w:t>
            </w:r>
          </w:p>
        </w:tc>
      </w:tr>
      <w:tr w:rsidR="0003507F" w:rsidRPr="0032700F" w:rsidTr="00C00E9F">
        <w:trPr>
          <w:trHeight w:val="160"/>
        </w:trPr>
        <w:tc>
          <w:tcPr>
            <w:tcW w:w="3033" w:type="dxa"/>
            <w:tcBorders>
              <w:right w:val="single" w:sz="4" w:space="0" w:color="auto"/>
            </w:tcBorders>
          </w:tcPr>
          <w:p w:rsidR="0003507F"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Marketing</w:t>
            </w:r>
          </w:p>
        </w:tc>
        <w:tc>
          <w:tcPr>
            <w:tcW w:w="6697" w:type="dxa"/>
            <w:tcBorders>
              <w:left w:val="single" w:sz="4" w:space="0" w:color="auto"/>
            </w:tcBorders>
          </w:tcPr>
          <w:p w:rsidR="0003507F" w:rsidRPr="0032700F" w:rsidRDefault="0003507F" w:rsidP="0003507F">
            <w:pPr>
              <w:spacing w:line="276" w:lineRule="auto"/>
              <w:rPr>
                <w:rFonts w:ascii="Times New Roman" w:hAnsi="Times New Roman" w:cs="Times New Roman"/>
              </w:rPr>
            </w:pPr>
            <w:r w:rsidRPr="0032700F">
              <w:rPr>
                <w:rFonts w:ascii="Times New Roman" w:hAnsi="Times New Roman" w:cs="Times New Roman"/>
              </w:rPr>
              <w:t>10</w:t>
            </w:r>
            <w:r w:rsidR="00C00E9F" w:rsidRPr="0032700F">
              <w:rPr>
                <w:rFonts w:ascii="Times New Roman" w:hAnsi="Times New Roman" w:cs="Times New Roman"/>
              </w:rPr>
              <w:t xml:space="preserve">   (5%)</w:t>
            </w:r>
          </w:p>
        </w:tc>
      </w:tr>
      <w:tr w:rsidR="0003507F" w:rsidRPr="0032700F" w:rsidTr="00C00E9F">
        <w:trPr>
          <w:trHeight w:val="160"/>
        </w:trPr>
        <w:tc>
          <w:tcPr>
            <w:tcW w:w="3033" w:type="dxa"/>
            <w:tcBorders>
              <w:right w:val="single" w:sz="4" w:space="0" w:color="auto"/>
            </w:tcBorders>
          </w:tcPr>
          <w:p w:rsidR="0003507F"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Outdoor Recreation</w:t>
            </w:r>
          </w:p>
        </w:tc>
        <w:tc>
          <w:tcPr>
            <w:tcW w:w="6697" w:type="dxa"/>
            <w:tcBorders>
              <w:left w:val="single" w:sz="4" w:space="0" w:color="auto"/>
            </w:tcBorders>
          </w:tcPr>
          <w:p w:rsidR="0003507F" w:rsidRPr="0032700F" w:rsidRDefault="0003507F" w:rsidP="0003507F">
            <w:pPr>
              <w:spacing w:line="276" w:lineRule="auto"/>
              <w:rPr>
                <w:rFonts w:ascii="Times New Roman" w:hAnsi="Times New Roman" w:cs="Times New Roman"/>
              </w:rPr>
            </w:pPr>
            <w:r w:rsidRPr="0032700F">
              <w:rPr>
                <w:rFonts w:ascii="Times New Roman" w:hAnsi="Times New Roman" w:cs="Times New Roman"/>
              </w:rPr>
              <w:t>22</w:t>
            </w:r>
            <w:r w:rsidR="00C00E9F" w:rsidRPr="0032700F">
              <w:rPr>
                <w:rFonts w:ascii="Times New Roman" w:hAnsi="Times New Roman" w:cs="Times New Roman"/>
              </w:rPr>
              <w:t xml:space="preserve">   (11%)</w:t>
            </w:r>
          </w:p>
        </w:tc>
      </w:tr>
      <w:tr w:rsidR="0003507F" w:rsidRPr="0032700F" w:rsidTr="00C00E9F">
        <w:trPr>
          <w:trHeight w:val="160"/>
        </w:trPr>
        <w:tc>
          <w:tcPr>
            <w:tcW w:w="3033" w:type="dxa"/>
            <w:tcBorders>
              <w:bottom w:val="single" w:sz="4" w:space="0" w:color="auto"/>
              <w:right w:val="single" w:sz="4" w:space="0" w:color="auto"/>
            </w:tcBorders>
          </w:tcPr>
          <w:p w:rsidR="0003507F" w:rsidRPr="0032700F" w:rsidRDefault="0003507F" w:rsidP="0003507F">
            <w:pPr>
              <w:spacing w:line="276" w:lineRule="auto"/>
              <w:jc w:val="right"/>
              <w:rPr>
                <w:rFonts w:ascii="Times New Roman" w:hAnsi="Times New Roman" w:cs="Times New Roman"/>
              </w:rPr>
            </w:pPr>
            <w:r w:rsidRPr="0032700F">
              <w:rPr>
                <w:rFonts w:ascii="Times New Roman" w:hAnsi="Times New Roman" w:cs="Times New Roman"/>
              </w:rPr>
              <w:t>Sport Clubs</w:t>
            </w:r>
          </w:p>
        </w:tc>
        <w:tc>
          <w:tcPr>
            <w:tcW w:w="6697" w:type="dxa"/>
            <w:tcBorders>
              <w:left w:val="single" w:sz="4" w:space="0" w:color="auto"/>
            </w:tcBorders>
          </w:tcPr>
          <w:p w:rsidR="0003507F" w:rsidRPr="0032700F" w:rsidRDefault="0003507F" w:rsidP="00C00E9F">
            <w:pPr>
              <w:spacing w:line="276" w:lineRule="auto"/>
              <w:rPr>
                <w:rFonts w:ascii="Times New Roman" w:hAnsi="Times New Roman" w:cs="Times New Roman"/>
              </w:rPr>
            </w:pPr>
            <w:r w:rsidRPr="0032700F">
              <w:rPr>
                <w:rFonts w:ascii="Times New Roman" w:hAnsi="Times New Roman" w:cs="Times New Roman"/>
              </w:rPr>
              <w:t>13</w:t>
            </w:r>
            <w:r w:rsidR="00C00E9F" w:rsidRPr="0032700F">
              <w:rPr>
                <w:rFonts w:ascii="Times New Roman" w:hAnsi="Times New Roman" w:cs="Times New Roman"/>
              </w:rPr>
              <w:t xml:space="preserve">   (7%)</w:t>
            </w:r>
            <w:r w:rsidRPr="0032700F">
              <w:rPr>
                <w:rFonts w:ascii="Times New Roman" w:hAnsi="Times New Roman" w:cs="Times New Roman"/>
              </w:rPr>
              <w:t xml:space="preserve">         </w:t>
            </w:r>
            <w:r w:rsidR="00C00E9F" w:rsidRPr="0032700F">
              <w:rPr>
                <w:rFonts w:ascii="Times New Roman" w:hAnsi="Times New Roman" w:cs="Times New Roman"/>
              </w:rPr>
              <w:t xml:space="preserve">*Percentages are out of </w:t>
            </w:r>
            <w:r w:rsidRPr="0032700F">
              <w:rPr>
                <w:rFonts w:ascii="Times New Roman" w:hAnsi="Times New Roman" w:cs="Times New Roman"/>
              </w:rPr>
              <w:t>193 total postings in final data set</w:t>
            </w:r>
          </w:p>
        </w:tc>
      </w:tr>
    </w:tbl>
    <w:p w:rsidR="00BC37AF" w:rsidRPr="0032700F" w:rsidRDefault="00FD56B3" w:rsidP="009D4055">
      <w:pPr>
        <w:spacing w:line="480" w:lineRule="auto"/>
        <w:rPr>
          <w:rFonts w:ascii="Times New Roman" w:hAnsi="Times New Roman" w:cs="Times New Roman"/>
        </w:rPr>
      </w:pPr>
      <w:r w:rsidRPr="0032700F">
        <w:rPr>
          <w:rFonts w:ascii="Times New Roman" w:hAnsi="Times New Roman" w:cs="Times New Roman"/>
        </w:rPr>
        <w:t xml:space="preserve"> </w:t>
      </w:r>
    </w:p>
    <w:p w:rsidR="008252DB" w:rsidRPr="0032700F" w:rsidRDefault="008252DB" w:rsidP="008252DB">
      <w:pPr>
        <w:spacing w:line="480" w:lineRule="auto"/>
        <w:rPr>
          <w:rFonts w:ascii="Times New Roman" w:hAnsi="Times New Roman" w:cs="Times New Roman"/>
        </w:rPr>
      </w:pPr>
      <w:r w:rsidRPr="0032700F">
        <w:rPr>
          <w:rFonts w:ascii="Times New Roman" w:hAnsi="Times New Roman" w:cs="Times New Roman"/>
        </w:rPr>
        <w:t xml:space="preserve"> </w:t>
      </w:r>
      <w:r w:rsidRPr="0032700F">
        <w:rPr>
          <w:rFonts w:ascii="Times New Roman" w:hAnsi="Times New Roman" w:cs="Times New Roman"/>
        </w:rPr>
        <w:tab/>
        <w:t xml:space="preserve">To establish a valid instrument and analysis procedure care was given to ensure the reliability of both.  To the benefit of this process, NIRSA has established a highly detailed list of core competencies for professionals in the field.  First appearing </w:t>
      </w:r>
      <w:r w:rsidR="008B3D17" w:rsidRPr="0032700F">
        <w:rPr>
          <w:rFonts w:ascii="Times New Roman" w:hAnsi="Times New Roman" w:cs="Times New Roman"/>
        </w:rPr>
        <w:t xml:space="preserve">on the organization’s website in </w:t>
      </w:r>
      <w:r w:rsidRPr="0032700F">
        <w:rPr>
          <w:rFonts w:ascii="Times New Roman" w:hAnsi="Times New Roman" w:cs="Times New Roman"/>
        </w:rPr>
        <w:t>2014 these eight competencies have been developed</w:t>
      </w:r>
      <w:r w:rsidR="008B3D17" w:rsidRPr="0032700F">
        <w:rPr>
          <w:rFonts w:ascii="Times New Roman" w:hAnsi="Times New Roman" w:cs="Times New Roman"/>
        </w:rPr>
        <w:t xml:space="preserve"> to reflect not only, specific sub-categories  as well as a rubric of “levels” that indicate various skills that should be evident for professionals that have basic, intermediate or advanced skill sets in the various competencies.  These industry established competencies and  specific sub-categories (71 across eight competency areas)  served as the objective basis for the measuring instrument.</w:t>
      </w:r>
      <w:r w:rsidR="00294BEB" w:rsidRPr="0032700F">
        <w:rPr>
          <w:rFonts w:ascii="Times New Roman" w:hAnsi="Times New Roman" w:cs="Times New Roman"/>
        </w:rPr>
        <w:t xml:space="preserve"> </w:t>
      </w:r>
      <w:r w:rsidR="008B3D17" w:rsidRPr="0032700F">
        <w:rPr>
          <w:rFonts w:ascii="Times New Roman" w:hAnsi="Times New Roman" w:cs="Times New Roman"/>
        </w:rPr>
        <w:t xml:space="preserve"> The procedure of the content analysis would </w:t>
      </w:r>
      <w:r w:rsidR="008B3D17" w:rsidRPr="0032700F">
        <w:rPr>
          <w:rFonts w:ascii="Times New Roman" w:hAnsi="Times New Roman" w:cs="Times New Roman"/>
        </w:rPr>
        <w:lastRenderedPageBreak/>
        <w:t xml:space="preserve">become a exercise in mapping the various responsibilities and requirements in the position postings to the specific competency sub-categories that they aligned with. Please see </w:t>
      </w:r>
      <w:r w:rsidR="00A958EE" w:rsidRPr="0032700F">
        <w:rPr>
          <w:rFonts w:ascii="Times New Roman" w:hAnsi="Times New Roman" w:cs="Times New Roman"/>
        </w:rPr>
        <w:t>Appendix item A</w:t>
      </w:r>
      <w:r w:rsidR="008B3D17" w:rsidRPr="0032700F">
        <w:rPr>
          <w:rFonts w:ascii="Times New Roman" w:hAnsi="Times New Roman" w:cs="Times New Roman"/>
        </w:rPr>
        <w:t xml:space="preserve"> for a complete list of the competencies and their respective sub-categories of skill sets. </w:t>
      </w:r>
    </w:p>
    <w:p w:rsidR="00A07282" w:rsidRPr="0032700F" w:rsidRDefault="008B3D17" w:rsidP="008252DB">
      <w:pPr>
        <w:spacing w:line="480" w:lineRule="auto"/>
        <w:rPr>
          <w:rFonts w:ascii="Times New Roman" w:hAnsi="Times New Roman" w:cs="Times New Roman"/>
        </w:rPr>
      </w:pPr>
      <w:r w:rsidRPr="0032700F">
        <w:rPr>
          <w:rFonts w:ascii="Times New Roman" w:hAnsi="Times New Roman" w:cs="Times New Roman"/>
        </w:rPr>
        <w:tab/>
      </w:r>
      <w:r w:rsidR="00294BEB" w:rsidRPr="0032700F">
        <w:rPr>
          <w:rFonts w:ascii="Times New Roman" w:hAnsi="Times New Roman" w:cs="Times New Roman"/>
        </w:rPr>
        <w:t>To ensure that the analysis or coding procedure was as reliable</w:t>
      </w:r>
      <w:r w:rsidR="002E04F4" w:rsidRPr="0032700F">
        <w:rPr>
          <w:rFonts w:ascii="Times New Roman" w:hAnsi="Times New Roman" w:cs="Times New Roman"/>
        </w:rPr>
        <w:t xml:space="preserve"> and scientifically rigorous</w:t>
      </w:r>
      <w:r w:rsidR="00294BEB" w:rsidRPr="0032700F">
        <w:rPr>
          <w:rFonts w:ascii="Times New Roman" w:hAnsi="Times New Roman" w:cs="Times New Roman"/>
        </w:rPr>
        <w:t xml:space="preserve"> as can be expected with a human coder efforts were made to first establish a consistent coding approach as well as establish intrarater r</w:t>
      </w:r>
      <w:r w:rsidR="002E04F4" w:rsidRPr="0032700F">
        <w:rPr>
          <w:rFonts w:ascii="Times New Roman" w:hAnsi="Times New Roman" w:cs="Times New Roman"/>
        </w:rPr>
        <w:t>eliability.  To establish a sustainable and consistent approach for coding researches sought to clarify the definitions of the various competency sub-categories within the context of the language and format of the position postings.  With this in mind five individual postings, each representing a different community of practice were pulled from the data set</w:t>
      </w:r>
      <w:r w:rsidR="00A07282" w:rsidRPr="0032700F">
        <w:rPr>
          <w:rFonts w:ascii="Times New Roman" w:hAnsi="Times New Roman" w:cs="Times New Roman"/>
        </w:rPr>
        <w:t xml:space="preserve"> for analysis</w:t>
      </w:r>
      <w:r w:rsidR="002E04F4" w:rsidRPr="0032700F">
        <w:rPr>
          <w:rFonts w:ascii="Times New Roman" w:hAnsi="Times New Roman" w:cs="Times New Roman"/>
        </w:rPr>
        <w:t xml:space="preserve">.  Three separate researchers conducted independent content analysis </w:t>
      </w:r>
      <w:r w:rsidR="00A07282" w:rsidRPr="0032700F">
        <w:rPr>
          <w:rFonts w:ascii="Times New Roman" w:hAnsi="Times New Roman" w:cs="Times New Roman"/>
        </w:rPr>
        <w:t>of the five postings.  The researchers included a director of a collegiate recreation department, an assistant director in collegiate recreation and a tenured faculty member in the field of sport management.  Using the instrument and the described mapping process, a tally was marked in each subcategory that the researcher believed was reflected</w:t>
      </w:r>
      <w:r w:rsidR="0082640A" w:rsidRPr="0032700F">
        <w:rPr>
          <w:rFonts w:ascii="Times New Roman" w:hAnsi="Times New Roman" w:cs="Times New Roman"/>
        </w:rPr>
        <w:t xml:space="preserve"> by skills listed</w:t>
      </w:r>
      <w:r w:rsidR="00A07282" w:rsidRPr="0032700F">
        <w:rPr>
          <w:rFonts w:ascii="Times New Roman" w:hAnsi="Times New Roman" w:cs="Times New Roman"/>
        </w:rPr>
        <w:t xml:space="preserve"> in the position description or the candidate requirements. </w:t>
      </w:r>
    </w:p>
    <w:p w:rsidR="008B3D17" w:rsidRPr="0032700F" w:rsidRDefault="00A07282" w:rsidP="00A07282">
      <w:pPr>
        <w:spacing w:line="480" w:lineRule="auto"/>
        <w:ind w:firstLine="720"/>
        <w:rPr>
          <w:rFonts w:ascii="Times New Roman" w:hAnsi="Times New Roman" w:cs="Times New Roman"/>
        </w:rPr>
      </w:pPr>
      <w:r w:rsidRPr="0032700F">
        <w:rPr>
          <w:rFonts w:ascii="Times New Roman" w:hAnsi="Times New Roman" w:cs="Times New Roman"/>
        </w:rPr>
        <w:t xml:space="preserve">Once completed the three independent sets of results were compiled and the three researchers met to discuss their coding experiences, discuss areas of </w:t>
      </w:r>
      <w:r w:rsidR="0082640A" w:rsidRPr="0032700F">
        <w:rPr>
          <w:rFonts w:ascii="Times New Roman" w:hAnsi="Times New Roman" w:cs="Times New Roman"/>
        </w:rPr>
        <w:t>congruence</w:t>
      </w:r>
      <w:r w:rsidRPr="0032700F">
        <w:rPr>
          <w:rFonts w:ascii="Times New Roman" w:hAnsi="Times New Roman" w:cs="Times New Roman"/>
        </w:rPr>
        <w:t xml:space="preserve"> and clarify areas of difference.  Although this process would typically be used to establish the </w:t>
      </w:r>
      <w:r w:rsidRPr="0032700F">
        <w:rPr>
          <w:rFonts w:ascii="Times New Roman" w:hAnsi="Times New Roman" w:cs="Times New Roman"/>
          <w:i/>
        </w:rPr>
        <w:t>inter</w:t>
      </w:r>
      <w:r w:rsidRPr="0032700F">
        <w:rPr>
          <w:rFonts w:ascii="Times New Roman" w:hAnsi="Times New Roman" w:cs="Times New Roman"/>
        </w:rPr>
        <w:t>rater reliability</w:t>
      </w:r>
      <w:r w:rsidR="0082640A" w:rsidRPr="0032700F">
        <w:rPr>
          <w:rFonts w:ascii="Times New Roman" w:hAnsi="Times New Roman" w:cs="Times New Roman"/>
        </w:rPr>
        <w:t xml:space="preserve">, </w:t>
      </w:r>
      <w:r w:rsidRPr="0032700F">
        <w:rPr>
          <w:rFonts w:ascii="Times New Roman" w:hAnsi="Times New Roman" w:cs="Times New Roman"/>
        </w:rPr>
        <w:t xml:space="preserve">in this case the focus of the discussion was reaching agreement on examples of </w:t>
      </w:r>
      <w:r w:rsidR="0082640A" w:rsidRPr="0032700F">
        <w:rPr>
          <w:rFonts w:ascii="Times New Roman" w:hAnsi="Times New Roman" w:cs="Times New Roman"/>
        </w:rPr>
        <w:t xml:space="preserve">words, phrases or concepts that could be consistently mapped or coded to a specific sub-category of a competency.  By reaching agreement on how so many of these regularly occurring skills would be coded in the instrument the researcher conducting the content analysis of the complete data set could more confidently and consistently discern which sub-category a given skill could be assigned to.   It </w:t>
      </w:r>
      <w:r w:rsidR="0082640A" w:rsidRPr="0032700F">
        <w:rPr>
          <w:rFonts w:ascii="Times New Roman" w:hAnsi="Times New Roman" w:cs="Times New Roman"/>
        </w:rPr>
        <w:lastRenderedPageBreak/>
        <w:t>was also determined in this process that the previously created in</w:t>
      </w:r>
      <w:r w:rsidR="00C6478C" w:rsidRPr="0032700F">
        <w:rPr>
          <w:rFonts w:ascii="Times New Roman" w:hAnsi="Times New Roman" w:cs="Times New Roman"/>
        </w:rPr>
        <w:t xml:space="preserve">strument was effective and would support the researcher in maintaining a consistent approach to the analysis. </w:t>
      </w:r>
    </w:p>
    <w:p w:rsidR="005E5F0C" w:rsidRPr="0032700F" w:rsidRDefault="0082640A" w:rsidP="005E5F0C">
      <w:pPr>
        <w:spacing w:line="480" w:lineRule="auto"/>
        <w:ind w:firstLine="720"/>
        <w:rPr>
          <w:rFonts w:ascii="Times New Roman" w:hAnsi="Times New Roman" w:cs="Times New Roman"/>
        </w:rPr>
      </w:pPr>
      <w:r w:rsidRPr="0032700F">
        <w:rPr>
          <w:rFonts w:ascii="Times New Roman" w:hAnsi="Times New Roman" w:cs="Times New Roman"/>
        </w:rPr>
        <w:t xml:space="preserve">Using the </w:t>
      </w:r>
      <w:r w:rsidR="00C6478C" w:rsidRPr="0032700F">
        <w:rPr>
          <w:rFonts w:ascii="Times New Roman" w:hAnsi="Times New Roman" w:cs="Times New Roman"/>
        </w:rPr>
        <w:t>instrument all 227 position postings in the data set were reviewed via the content analysis by one researcher.  It was during this process that 34 of the position postings were deemed to be incomplete and were removed from the data set</w:t>
      </w:r>
      <w:r w:rsidR="005E5F0C" w:rsidRPr="0032700F">
        <w:rPr>
          <w:rFonts w:ascii="Times New Roman" w:hAnsi="Times New Roman" w:cs="Times New Roman"/>
        </w:rPr>
        <w:t>, resulting in the final number of 193 postings</w:t>
      </w:r>
      <w:r w:rsidR="00C6478C" w:rsidRPr="0032700F">
        <w:rPr>
          <w:rFonts w:ascii="Times New Roman" w:hAnsi="Times New Roman" w:cs="Times New Roman"/>
        </w:rPr>
        <w:t xml:space="preserve">.  Starting alphabetically with all of the postings in “aquatics” and finishing with all of the postings in “sport clubs” each posting was systematically reviewed with a “1” being placed in a spreadsheet for every sub-category that was represented in the respective position posting.  This analysis took place over four separate sessions </w:t>
      </w:r>
      <w:r w:rsidR="005E5F0C" w:rsidRPr="0032700F">
        <w:rPr>
          <w:rFonts w:ascii="Times New Roman" w:hAnsi="Times New Roman" w:cs="Times New Roman"/>
        </w:rPr>
        <w:t xml:space="preserve">with intentional breaks scheduled to support a consistent level of focus and commitment to accuracy of the analysis.  One day following the completion of the initial content analysis of all 193 postings, five postings were selected at random for an independent secondary review by the same researcher that conducted the initial study. This was done as a test measure for intrarater reliability and resulted in a 96% accuracy rating between the two separate analyses.  </w:t>
      </w:r>
    </w:p>
    <w:p w:rsidR="00EA78B4" w:rsidRPr="0032700F" w:rsidRDefault="00EA78B4" w:rsidP="005E5F0C">
      <w:pPr>
        <w:spacing w:line="480" w:lineRule="auto"/>
        <w:ind w:firstLine="720"/>
        <w:rPr>
          <w:rFonts w:ascii="Times New Roman" w:hAnsi="Times New Roman" w:cs="Times New Roman"/>
        </w:rPr>
      </w:pPr>
      <w:r w:rsidRPr="0032700F">
        <w:rPr>
          <w:rFonts w:ascii="Times New Roman" w:hAnsi="Times New Roman" w:cs="Times New Roman"/>
        </w:rPr>
        <w:t>Within each community of practice a total was compiled for</w:t>
      </w:r>
      <w:r w:rsidR="0016735E" w:rsidRPr="0032700F">
        <w:rPr>
          <w:rFonts w:ascii="Times New Roman" w:hAnsi="Times New Roman" w:cs="Times New Roman"/>
        </w:rPr>
        <w:t xml:space="preserve"> each</w:t>
      </w:r>
      <w:r w:rsidRPr="0032700F">
        <w:rPr>
          <w:rFonts w:ascii="Times New Roman" w:hAnsi="Times New Roman" w:cs="Times New Roman"/>
        </w:rPr>
        <w:t xml:space="preserve"> com</w:t>
      </w:r>
      <w:r w:rsidR="0016735E" w:rsidRPr="0032700F">
        <w:rPr>
          <w:rFonts w:ascii="Times New Roman" w:hAnsi="Times New Roman" w:cs="Times New Roman"/>
        </w:rPr>
        <w:t>petency sub-category</w:t>
      </w:r>
      <w:r w:rsidRPr="0032700F">
        <w:rPr>
          <w:rFonts w:ascii="Times New Roman" w:hAnsi="Times New Roman" w:cs="Times New Roman"/>
        </w:rPr>
        <w:t xml:space="preserve"> </w:t>
      </w:r>
      <w:r w:rsidR="0016735E" w:rsidRPr="0032700F">
        <w:rPr>
          <w:rFonts w:ascii="Times New Roman" w:hAnsi="Times New Roman" w:cs="Times New Roman"/>
        </w:rPr>
        <w:t xml:space="preserve"> which indicates how many position postings in that specialization reflected that the given sub-category would be experienced if working in that position.  For example, the Aquatics community of practice included 25 total position postings and 11 of those postings listed “verbal / written communication” as a responsibility or a requirement.   That total  (11) will also be converted into a percentage (44%) of the total postings in that area.  The percentage allows comparison to the relative importance of that competency sub-category to the various communities of practice.  In addition the totals in each sub-category will be compiles into one industry wide total  and respective percentage.   The complete breakdown of all of these totals </w:t>
      </w:r>
      <w:r w:rsidR="0016735E" w:rsidRPr="0032700F">
        <w:rPr>
          <w:rFonts w:ascii="Times New Roman" w:hAnsi="Times New Roman" w:cs="Times New Roman"/>
        </w:rPr>
        <w:lastRenderedPageBreak/>
        <w:t xml:space="preserve">and percentages can be reviewed in detail in Appendix A. </w:t>
      </w:r>
      <w:r w:rsidR="00C66995" w:rsidRPr="0032700F">
        <w:rPr>
          <w:rFonts w:ascii="Times New Roman" w:hAnsi="Times New Roman" w:cs="Times New Roman"/>
        </w:rPr>
        <w:t xml:space="preserve"> For the purpose of framing  results, sub-categories will be reported as significant (61-100%), moderate (11 </w:t>
      </w:r>
      <w:r w:rsidR="000255BD" w:rsidRPr="0032700F">
        <w:rPr>
          <w:rFonts w:ascii="Times New Roman" w:hAnsi="Times New Roman" w:cs="Times New Roman"/>
        </w:rPr>
        <w:t>–</w:t>
      </w:r>
      <w:r w:rsidR="00C66995" w:rsidRPr="0032700F">
        <w:rPr>
          <w:rFonts w:ascii="Times New Roman" w:hAnsi="Times New Roman" w:cs="Times New Roman"/>
        </w:rPr>
        <w:t xml:space="preserve"> 60%) or insignificant (0-10%) </w:t>
      </w:r>
    </w:p>
    <w:p w:rsidR="007A7EF2" w:rsidRPr="0032700F" w:rsidRDefault="007A7EF2" w:rsidP="005E5F0C">
      <w:pPr>
        <w:spacing w:line="480" w:lineRule="auto"/>
        <w:ind w:firstLine="720"/>
        <w:rPr>
          <w:rFonts w:ascii="Times New Roman" w:hAnsi="Times New Roman" w:cs="Times New Roman"/>
        </w:rPr>
      </w:pPr>
      <w:r w:rsidRPr="0032700F">
        <w:rPr>
          <w:rFonts w:ascii="Times New Roman" w:hAnsi="Times New Roman" w:cs="Times New Roman"/>
        </w:rPr>
        <w:t xml:space="preserve">Although the defined data set included every graduate assistant posting listed on bluefishjobs.com for one calendar year, there are some potential limitations to the data set. First, there is no requirement that collegiate recreation departments post their positions on this website.  For various reasons related to individual or institutional choice, hiring departments may choose to post the positions on their institutional website only, use their network as a way to spread the word about the opening or perhaps only list the position internally for previously accepted graduate students. In addition, graduate assistantships are generally a two year commitment so a given position would likely on be posted on an every other year schedule.  It is reasonable to project that this data set only represents one half of the total positions available at NIRSA affiliated institutions. There are also limiting factors related to the use of one human researcher for the content analysis.  With one researcher the interpretation of the content in the postings is subject to the experience, knowledge and inferences of that given person. </w:t>
      </w:r>
    </w:p>
    <w:p w:rsidR="0003345A" w:rsidRPr="0032700F" w:rsidRDefault="0003345A" w:rsidP="007167D9">
      <w:pPr>
        <w:spacing w:line="480" w:lineRule="auto"/>
        <w:ind w:firstLine="720"/>
        <w:jc w:val="center"/>
        <w:rPr>
          <w:rFonts w:ascii="Times New Roman" w:hAnsi="Times New Roman" w:cs="Times New Roman"/>
          <w:b/>
        </w:rPr>
      </w:pPr>
    </w:p>
    <w:p w:rsidR="005E5F0C" w:rsidRPr="0032700F" w:rsidRDefault="007167D9" w:rsidP="007167D9">
      <w:pPr>
        <w:spacing w:line="480" w:lineRule="auto"/>
        <w:ind w:firstLine="720"/>
        <w:jc w:val="center"/>
        <w:rPr>
          <w:rFonts w:ascii="Times New Roman" w:hAnsi="Times New Roman" w:cs="Times New Roman"/>
          <w:b/>
        </w:rPr>
      </w:pPr>
      <w:r w:rsidRPr="0032700F">
        <w:rPr>
          <w:rFonts w:ascii="Times New Roman" w:hAnsi="Times New Roman" w:cs="Times New Roman"/>
          <w:b/>
        </w:rPr>
        <w:t>Results</w:t>
      </w:r>
    </w:p>
    <w:p w:rsidR="007167D9" w:rsidRPr="0032700F" w:rsidRDefault="00E57CA8" w:rsidP="007167D9">
      <w:pPr>
        <w:spacing w:line="480" w:lineRule="auto"/>
        <w:ind w:firstLine="720"/>
        <w:rPr>
          <w:rFonts w:ascii="Times New Roman" w:hAnsi="Times New Roman" w:cs="Times New Roman"/>
        </w:rPr>
      </w:pPr>
      <w:r w:rsidRPr="0032700F">
        <w:rPr>
          <w:rFonts w:ascii="Times New Roman" w:hAnsi="Times New Roman" w:cs="Times New Roman"/>
        </w:rPr>
        <w:t xml:space="preserve">Results of this study and the subsequent data have relevance to the industry of collegiate recreation as a whole as well as for each individual </w:t>
      </w:r>
      <w:r w:rsidR="00C00E9F" w:rsidRPr="0032700F">
        <w:rPr>
          <w:rFonts w:ascii="Times New Roman" w:hAnsi="Times New Roman" w:cs="Times New Roman"/>
        </w:rPr>
        <w:t>community of practice as defined by NIRSA.  The percentage of positions available in each individual community of practice as a stand-alone statistic is indicative of the</w:t>
      </w:r>
      <w:r w:rsidR="00EA78B4" w:rsidRPr="0032700F">
        <w:rPr>
          <w:rFonts w:ascii="Times New Roman" w:hAnsi="Times New Roman" w:cs="Times New Roman"/>
        </w:rPr>
        <w:t xml:space="preserve"> number of</w:t>
      </w:r>
      <w:r w:rsidR="00C00E9F" w:rsidRPr="0032700F">
        <w:rPr>
          <w:rFonts w:ascii="Times New Roman" w:hAnsi="Times New Roman" w:cs="Times New Roman"/>
        </w:rPr>
        <w:t xml:space="preserve"> opportunities that exist to earn graduate assistantships in the field.  </w:t>
      </w:r>
      <w:r w:rsidR="00EA78B4" w:rsidRPr="0032700F">
        <w:rPr>
          <w:rFonts w:ascii="Times New Roman" w:hAnsi="Times New Roman" w:cs="Times New Roman"/>
        </w:rPr>
        <w:t xml:space="preserve">For the purposes of addressing the research question the primary focus the results will be related to the industry as a whole in regards to which competency areas are most effectively </w:t>
      </w:r>
      <w:r w:rsidR="00EA78B4" w:rsidRPr="0032700F">
        <w:rPr>
          <w:rFonts w:ascii="Times New Roman" w:hAnsi="Times New Roman" w:cs="Times New Roman"/>
        </w:rPr>
        <w:lastRenderedPageBreak/>
        <w:t xml:space="preserve">experienced through collegiate recreation graduate assistantships. With the design of this study it will also be clearly evident how assistantships in each specific community of practice are preparing students in each competency area.  </w:t>
      </w:r>
    </w:p>
    <w:p w:rsidR="0041688F" w:rsidRPr="0032700F" w:rsidRDefault="0041688F" w:rsidP="0041688F">
      <w:pPr>
        <w:spacing w:line="480" w:lineRule="auto"/>
        <w:ind w:firstLine="720"/>
        <w:rPr>
          <w:rFonts w:ascii="Times New Roman" w:hAnsi="Times New Roman" w:cs="Times New Roman"/>
        </w:rPr>
      </w:pPr>
      <w:r w:rsidRPr="0032700F">
        <w:rPr>
          <w:rFonts w:ascii="Times New Roman" w:hAnsi="Times New Roman" w:cs="Times New Roman"/>
        </w:rPr>
        <w:t xml:space="preserve">NIRSA describes the competency area of  philosophy and theory as “…knowledge and skills that connect the philosophy and theory to professional practice.” </w:t>
      </w:r>
      <w:r w:rsidR="00265223" w:rsidRPr="0032700F">
        <w:rPr>
          <w:rFonts w:ascii="Times New Roman" w:hAnsi="Times New Roman" w:cs="Times New Roman"/>
        </w:rPr>
        <w:t>(Core Competencies (NIRSA))</w:t>
      </w:r>
      <w:r w:rsidRPr="0032700F">
        <w:rPr>
          <w:rFonts w:ascii="Times New Roman" w:hAnsi="Times New Roman" w:cs="Times New Roman"/>
        </w:rPr>
        <w:t>.   An examination of the industry wide data points t</w:t>
      </w:r>
      <w:r w:rsidR="00111421" w:rsidRPr="0032700F">
        <w:rPr>
          <w:rFonts w:ascii="Times New Roman" w:hAnsi="Times New Roman" w:cs="Times New Roman"/>
        </w:rPr>
        <w:t xml:space="preserve">o “standards of practice” being the only significantly represented sub-category in this competency area. </w:t>
      </w:r>
      <w:r w:rsidR="007612D9" w:rsidRPr="0032700F">
        <w:rPr>
          <w:rFonts w:ascii="Times New Roman" w:hAnsi="Times New Roman" w:cs="Times New Roman"/>
        </w:rPr>
        <w:t xml:space="preserve">See Table 2.1 </w:t>
      </w:r>
      <w:r w:rsidR="00111421" w:rsidRPr="0032700F">
        <w:rPr>
          <w:rFonts w:ascii="Times New Roman" w:hAnsi="Times New Roman" w:cs="Times New Roman"/>
        </w:rPr>
        <w:t>for specific totals and percentages.</w:t>
      </w:r>
      <w:r w:rsidR="007612D9" w:rsidRPr="0032700F">
        <w:rPr>
          <w:rFonts w:ascii="Times New Roman" w:hAnsi="Times New Roman" w:cs="Times New Roman"/>
        </w:rPr>
        <w:t xml:space="preserve">  </w:t>
      </w:r>
      <w:r w:rsidRPr="0032700F">
        <w:rPr>
          <w:rFonts w:ascii="Times New Roman" w:hAnsi="Times New Roman" w:cs="Times New Roman"/>
        </w:rPr>
        <w:t xml:space="preserve">The most common reason for positions being aligned with these two sub-categories was that they required some sort of industry specific certification.  The remaining seven sub-categories in </w:t>
      </w:r>
      <w:r w:rsidR="0048255A" w:rsidRPr="0032700F">
        <w:rPr>
          <w:rFonts w:ascii="Times New Roman" w:hAnsi="Times New Roman" w:cs="Times New Roman"/>
        </w:rPr>
        <w:t>this competency area</w:t>
      </w:r>
      <w:r w:rsidR="007612D9" w:rsidRPr="0032700F">
        <w:rPr>
          <w:rFonts w:ascii="Times New Roman" w:hAnsi="Times New Roman" w:cs="Times New Roman"/>
        </w:rPr>
        <w:t xml:space="preserve"> were all in-significant as they were represented in less than 10% of the positions. </w:t>
      </w:r>
    </w:p>
    <w:tbl>
      <w:tblPr>
        <w:tblW w:w="8740" w:type="dxa"/>
        <w:tblInd w:w="93" w:type="dxa"/>
        <w:tblLook w:val="04A0" w:firstRow="1" w:lastRow="0" w:firstColumn="1" w:lastColumn="0" w:noHBand="0" w:noVBand="1"/>
      </w:tblPr>
      <w:tblGrid>
        <w:gridCol w:w="6880"/>
        <w:gridCol w:w="1005"/>
        <w:gridCol w:w="855"/>
      </w:tblGrid>
      <w:tr w:rsidR="007612D9" w:rsidRPr="0032700F" w:rsidTr="007612D9">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612D9" w:rsidRPr="0032700F" w:rsidRDefault="007612D9" w:rsidP="007612D9">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2.1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7612D9" w:rsidRPr="0032700F" w:rsidRDefault="007612D9" w:rsidP="007612D9">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7612D9" w:rsidRPr="0032700F" w:rsidTr="007612D9">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7612D9" w:rsidRPr="0032700F" w:rsidRDefault="007612D9" w:rsidP="007612D9">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Philosophy / Theory</w:t>
            </w:r>
          </w:p>
        </w:tc>
        <w:tc>
          <w:tcPr>
            <w:tcW w:w="1005" w:type="dxa"/>
            <w:tcBorders>
              <w:top w:val="nil"/>
              <w:left w:val="single" w:sz="8" w:space="0" w:color="auto"/>
              <w:bottom w:val="single" w:sz="4" w:space="0" w:color="auto"/>
              <w:right w:val="single" w:sz="4" w:space="0" w:color="auto"/>
            </w:tcBorders>
            <w:shd w:val="clear" w:color="auto" w:fill="auto"/>
            <w:noWrap/>
            <w:vAlign w:val="bottom"/>
            <w:hideMark/>
          </w:tcPr>
          <w:p w:rsidR="007612D9" w:rsidRPr="0032700F" w:rsidRDefault="007612D9" w:rsidP="007612D9">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Total </w:t>
            </w:r>
          </w:p>
        </w:tc>
        <w:tc>
          <w:tcPr>
            <w:tcW w:w="855" w:type="dxa"/>
            <w:tcBorders>
              <w:top w:val="nil"/>
              <w:left w:val="nil"/>
              <w:bottom w:val="single" w:sz="4" w:space="0" w:color="auto"/>
              <w:right w:val="single" w:sz="8" w:space="0" w:color="auto"/>
            </w:tcBorders>
            <w:shd w:val="clear" w:color="auto" w:fill="auto"/>
            <w:noWrap/>
            <w:vAlign w:val="bottom"/>
            <w:hideMark/>
          </w:tcPr>
          <w:p w:rsidR="007612D9" w:rsidRPr="0032700F" w:rsidRDefault="007612D9" w:rsidP="007612D9">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w:t>
            </w:r>
          </w:p>
        </w:tc>
      </w:tr>
      <w:tr w:rsidR="007612D9" w:rsidRPr="0032700F" w:rsidTr="007612D9">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7612D9" w:rsidRPr="0032700F" w:rsidRDefault="007612D9" w:rsidP="007612D9">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Standards of Practice</w:t>
            </w:r>
          </w:p>
        </w:tc>
        <w:tc>
          <w:tcPr>
            <w:tcW w:w="1005" w:type="dxa"/>
            <w:tcBorders>
              <w:top w:val="nil"/>
              <w:left w:val="nil"/>
              <w:bottom w:val="single" w:sz="4" w:space="0" w:color="auto"/>
              <w:right w:val="single" w:sz="4" w:space="0" w:color="auto"/>
            </w:tcBorders>
            <w:shd w:val="clear" w:color="auto" w:fill="auto"/>
            <w:noWrap/>
            <w:vAlign w:val="bottom"/>
            <w:hideMark/>
          </w:tcPr>
          <w:p w:rsidR="007612D9" w:rsidRPr="0032700F" w:rsidRDefault="007612D9" w:rsidP="007612D9">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121</w:t>
            </w:r>
          </w:p>
        </w:tc>
        <w:tc>
          <w:tcPr>
            <w:tcW w:w="855" w:type="dxa"/>
            <w:tcBorders>
              <w:top w:val="nil"/>
              <w:left w:val="nil"/>
              <w:bottom w:val="single" w:sz="4" w:space="0" w:color="auto"/>
              <w:right w:val="single" w:sz="8" w:space="0" w:color="auto"/>
            </w:tcBorders>
            <w:shd w:val="clear" w:color="auto" w:fill="auto"/>
            <w:noWrap/>
            <w:vAlign w:val="bottom"/>
            <w:hideMark/>
          </w:tcPr>
          <w:p w:rsidR="007612D9" w:rsidRPr="0032700F" w:rsidRDefault="007612D9" w:rsidP="007612D9">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63%</w:t>
            </w:r>
          </w:p>
        </w:tc>
      </w:tr>
      <w:tr w:rsidR="007612D9" w:rsidRPr="0032700F" w:rsidTr="007612D9">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7612D9" w:rsidRPr="0032700F" w:rsidRDefault="007612D9" w:rsidP="007612D9">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Trends in Recreational Sports</w:t>
            </w:r>
          </w:p>
        </w:tc>
        <w:tc>
          <w:tcPr>
            <w:tcW w:w="1005" w:type="dxa"/>
            <w:tcBorders>
              <w:top w:val="nil"/>
              <w:left w:val="nil"/>
              <w:bottom w:val="single" w:sz="4" w:space="0" w:color="auto"/>
              <w:right w:val="single" w:sz="4" w:space="0" w:color="auto"/>
            </w:tcBorders>
            <w:shd w:val="clear" w:color="auto" w:fill="auto"/>
            <w:noWrap/>
            <w:vAlign w:val="bottom"/>
            <w:hideMark/>
          </w:tcPr>
          <w:p w:rsidR="007612D9" w:rsidRPr="0032700F" w:rsidRDefault="007612D9" w:rsidP="007612D9">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68</w:t>
            </w:r>
          </w:p>
        </w:tc>
        <w:tc>
          <w:tcPr>
            <w:tcW w:w="855" w:type="dxa"/>
            <w:tcBorders>
              <w:top w:val="nil"/>
              <w:left w:val="nil"/>
              <w:bottom w:val="single" w:sz="4" w:space="0" w:color="auto"/>
              <w:right w:val="single" w:sz="8" w:space="0" w:color="auto"/>
            </w:tcBorders>
            <w:shd w:val="clear" w:color="auto" w:fill="auto"/>
            <w:noWrap/>
            <w:vAlign w:val="bottom"/>
            <w:hideMark/>
          </w:tcPr>
          <w:p w:rsidR="007612D9" w:rsidRPr="0032700F" w:rsidRDefault="007612D9" w:rsidP="007612D9">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35%</w:t>
            </w:r>
          </w:p>
        </w:tc>
      </w:tr>
    </w:tbl>
    <w:p w:rsidR="007612D9" w:rsidRPr="0032700F" w:rsidRDefault="007612D9" w:rsidP="007612D9">
      <w:pPr>
        <w:spacing w:line="480" w:lineRule="auto"/>
        <w:rPr>
          <w:rFonts w:ascii="Times New Roman" w:hAnsi="Times New Roman" w:cs="Times New Roman"/>
        </w:rPr>
      </w:pPr>
    </w:p>
    <w:p w:rsidR="00EA78B4" w:rsidRPr="0032700F" w:rsidRDefault="00111421" w:rsidP="00111421">
      <w:pPr>
        <w:spacing w:line="480" w:lineRule="auto"/>
        <w:rPr>
          <w:rFonts w:ascii="Times New Roman" w:hAnsi="Times New Roman" w:cs="Times New Roman"/>
        </w:rPr>
      </w:pPr>
      <w:r w:rsidRPr="0032700F">
        <w:rPr>
          <w:rFonts w:ascii="Times New Roman" w:hAnsi="Times New Roman" w:cs="Times New Roman"/>
        </w:rPr>
        <w:tab/>
        <w:t xml:space="preserve">Programming is the competency area with the largest number of sub-categories and NIRSA believes that “Program delivery to our communities is a core purpose for collegiate recreation professionals…” </w:t>
      </w:r>
      <w:r w:rsidR="00265223" w:rsidRPr="0032700F">
        <w:rPr>
          <w:rFonts w:ascii="Times New Roman" w:hAnsi="Times New Roman" w:cs="Times New Roman"/>
        </w:rPr>
        <w:t>(Core Competencies (NIRSA))</w:t>
      </w:r>
      <w:r w:rsidRPr="0032700F">
        <w:rPr>
          <w:rFonts w:ascii="Times New Roman" w:hAnsi="Times New Roman" w:cs="Times New Roman"/>
        </w:rPr>
        <w:t xml:space="preserve">.   Although none of the 14 sub-categories reached our significant level of greater than 60%, program development, teaching and training, scheduling, promoting, delivery and leadership were evident in a moderate number of the positions.  See Table 2.2 for specific totals and percentages.  One of the reasons for such a large number of the sub-categories being represented by this competency area is that both the </w:t>
      </w:r>
      <w:r w:rsidRPr="0032700F">
        <w:rPr>
          <w:rFonts w:ascii="Times New Roman" w:hAnsi="Times New Roman" w:cs="Times New Roman"/>
        </w:rPr>
        <w:lastRenderedPageBreak/>
        <w:t>development of staff training as well as recreational programs themselves were considered programs.</w:t>
      </w:r>
      <w:r w:rsidR="0048255A" w:rsidRPr="0032700F">
        <w:rPr>
          <w:rFonts w:ascii="Times New Roman" w:hAnsi="Times New Roman" w:cs="Times New Roman"/>
        </w:rPr>
        <w:t xml:space="preserve"> Still, eight sub-categories were represented in less than 10% of the positions.</w:t>
      </w:r>
    </w:p>
    <w:p w:rsidR="000A164F" w:rsidRPr="0032700F" w:rsidRDefault="000A164F" w:rsidP="00111421">
      <w:pPr>
        <w:spacing w:line="480" w:lineRule="auto"/>
        <w:rPr>
          <w:rFonts w:ascii="Times New Roman" w:hAnsi="Times New Roman" w:cs="Times New Roman"/>
        </w:rPr>
      </w:pPr>
    </w:p>
    <w:p w:rsidR="0048255A" w:rsidRPr="0032700F" w:rsidRDefault="0048255A" w:rsidP="00111421">
      <w:pPr>
        <w:spacing w:line="480" w:lineRule="auto"/>
        <w:rPr>
          <w:rFonts w:ascii="Times New Roman" w:hAnsi="Times New Roman" w:cs="Times New Roman"/>
        </w:rPr>
      </w:pPr>
    </w:p>
    <w:tbl>
      <w:tblPr>
        <w:tblW w:w="8740" w:type="dxa"/>
        <w:tblInd w:w="93" w:type="dxa"/>
        <w:tblLook w:val="04A0" w:firstRow="1" w:lastRow="0" w:firstColumn="1" w:lastColumn="0" w:noHBand="0" w:noVBand="1"/>
      </w:tblPr>
      <w:tblGrid>
        <w:gridCol w:w="6880"/>
        <w:gridCol w:w="845"/>
        <w:gridCol w:w="1015"/>
      </w:tblGrid>
      <w:tr w:rsidR="00111421" w:rsidRPr="0032700F" w:rsidTr="00111421">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1421" w:rsidRPr="0032700F" w:rsidRDefault="0048255A" w:rsidP="00111421">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Table 2.2</w:t>
            </w:r>
            <w:r w:rsidR="00111421" w:rsidRPr="0032700F">
              <w:rPr>
                <w:rFonts w:ascii="Times New Roman" w:eastAsia="Times New Roman" w:hAnsi="Times New Roman" w:cs="Times New Roman"/>
                <w:b/>
                <w:bCs/>
                <w:color w:val="000000"/>
              </w:rPr>
              <w:t xml:space="preserve">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111421" w:rsidRPr="0032700F" w:rsidRDefault="00111421" w:rsidP="00111421">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Programming</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Program Development</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104</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Teaching and Training</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91</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47%</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Scheduling</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89</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46%</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Promoting</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85</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44%</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Delivery</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76</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39%</w:t>
            </w:r>
          </w:p>
        </w:tc>
      </w:tr>
      <w:tr w:rsidR="00111421" w:rsidRPr="0032700F" w:rsidTr="00111421">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111421" w:rsidRPr="0032700F" w:rsidRDefault="00111421" w:rsidP="00111421">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Leadership</w:t>
            </w:r>
          </w:p>
        </w:tc>
        <w:tc>
          <w:tcPr>
            <w:tcW w:w="845" w:type="dxa"/>
            <w:tcBorders>
              <w:top w:val="nil"/>
              <w:left w:val="nil"/>
              <w:bottom w:val="single" w:sz="4" w:space="0" w:color="auto"/>
              <w:right w:val="single" w:sz="4"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26</w:t>
            </w:r>
          </w:p>
        </w:tc>
        <w:tc>
          <w:tcPr>
            <w:tcW w:w="1015" w:type="dxa"/>
            <w:tcBorders>
              <w:top w:val="nil"/>
              <w:left w:val="nil"/>
              <w:bottom w:val="single" w:sz="4" w:space="0" w:color="auto"/>
              <w:right w:val="single" w:sz="8" w:space="0" w:color="auto"/>
            </w:tcBorders>
            <w:shd w:val="clear" w:color="auto" w:fill="auto"/>
            <w:noWrap/>
            <w:vAlign w:val="bottom"/>
            <w:hideMark/>
          </w:tcPr>
          <w:p w:rsidR="00111421" w:rsidRPr="0032700F" w:rsidRDefault="00111421" w:rsidP="00111421">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13%</w:t>
            </w:r>
          </w:p>
        </w:tc>
      </w:tr>
    </w:tbl>
    <w:p w:rsidR="00111421" w:rsidRPr="0032700F" w:rsidRDefault="00111421" w:rsidP="00111421">
      <w:pPr>
        <w:spacing w:line="480" w:lineRule="auto"/>
        <w:rPr>
          <w:rFonts w:ascii="Times New Roman" w:hAnsi="Times New Roman" w:cs="Times New Roman"/>
        </w:rPr>
      </w:pPr>
    </w:p>
    <w:p w:rsidR="0048255A" w:rsidRPr="0032700F" w:rsidRDefault="0048255A" w:rsidP="00111421">
      <w:pPr>
        <w:spacing w:line="480" w:lineRule="auto"/>
        <w:rPr>
          <w:rFonts w:ascii="Times New Roman" w:hAnsi="Times New Roman" w:cs="Times New Roman"/>
        </w:rPr>
      </w:pPr>
      <w:r w:rsidRPr="0032700F">
        <w:rPr>
          <w:rFonts w:ascii="Times New Roman" w:hAnsi="Times New Roman" w:cs="Times New Roman"/>
        </w:rPr>
        <w:tab/>
        <w:t xml:space="preserve">When stretched slightly to include the management of student employees, human resource management becomes one of the cornerstone experiences for graduate assistants in collegiate recreation. For the purposes of their professional registry (competencies) NIRSA qualifies that supervision of student employees generally is included only in the basic level of competency in this area.  Still both personnel / human resource management and staff selection and training qualify as being significant to the graduate assistant experience as they are represented in over 80% of positions.  A common phrase found in many of the position postings that encompasses both areas is “…assist in the hiring, training and evaluation of student staff.” See Table 2.3 for specific totals and percentages. Expectedly, more advanced concepts such as organizational development </w:t>
      </w:r>
      <w:r w:rsidR="00A958EE" w:rsidRPr="0032700F">
        <w:rPr>
          <w:rFonts w:ascii="Times New Roman" w:hAnsi="Times New Roman" w:cs="Times New Roman"/>
        </w:rPr>
        <w:t xml:space="preserve">and governance structures are represented in less than 5% of the positions. </w:t>
      </w:r>
    </w:p>
    <w:tbl>
      <w:tblPr>
        <w:tblW w:w="8740" w:type="dxa"/>
        <w:tblInd w:w="93" w:type="dxa"/>
        <w:tblLook w:val="04A0" w:firstRow="1" w:lastRow="0" w:firstColumn="1" w:lastColumn="0" w:noHBand="0" w:noVBand="1"/>
      </w:tblPr>
      <w:tblGrid>
        <w:gridCol w:w="6880"/>
        <w:gridCol w:w="845"/>
        <w:gridCol w:w="1015"/>
      </w:tblGrid>
      <w:tr w:rsidR="00A958EE" w:rsidRPr="0032700F" w:rsidTr="00A958EE">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58EE" w:rsidRPr="0032700F" w:rsidRDefault="00A958EE" w:rsidP="00A958EE">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2.3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A958EE" w:rsidRPr="0032700F" w:rsidRDefault="00A958EE" w:rsidP="00A958EE">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A958EE" w:rsidRPr="0032700F" w:rsidTr="00A958EE">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A958EE" w:rsidRPr="0032700F" w:rsidRDefault="00A958EE" w:rsidP="00A958EE">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lastRenderedPageBreak/>
              <w:t>Human Resource Management</w:t>
            </w:r>
          </w:p>
        </w:tc>
        <w:tc>
          <w:tcPr>
            <w:tcW w:w="845" w:type="dxa"/>
            <w:tcBorders>
              <w:top w:val="nil"/>
              <w:left w:val="nil"/>
              <w:bottom w:val="single" w:sz="4" w:space="0" w:color="auto"/>
              <w:right w:val="single" w:sz="4" w:space="0" w:color="auto"/>
            </w:tcBorders>
            <w:shd w:val="clear" w:color="auto" w:fill="auto"/>
            <w:noWrap/>
            <w:vAlign w:val="bottom"/>
            <w:hideMark/>
          </w:tcPr>
          <w:p w:rsidR="00A958EE" w:rsidRPr="0032700F" w:rsidRDefault="00A958EE" w:rsidP="00A958EE">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015" w:type="dxa"/>
            <w:tcBorders>
              <w:top w:val="nil"/>
              <w:left w:val="nil"/>
              <w:bottom w:val="single" w:sz="4" w:space="0" w:color="auto"/>
              <w:right w:val="single" w:sz="8" w:space="0" w:color="auto"/>
            </w:tcBorders>
            <w:shd w:val="clear" w:color="auto" w:fill="auto"/>
            <w:noWrap/>
            <w:vAlign w:val="bottom"/>
            <w:hideMark/>
          </w:tcPr>
          <w:p w:rsidR="00A958EE" w:rsidRPr="0032700F" w:rsidRDefault="00A958EE" w:rsidP="00A958EE">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A958EE" w:rsidRPr="0032700F" w:rsidTr="00A958EE">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A958EE" w:rsidRPr="0032700F" w:rsidRDefault="00A958EE" w:rsidP="00A958EE">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Personnel / Human Resource Management</w:t>
            </w:r>
          </w:p>
        </w:tc>
        <w:tc>
          <w:tcPr>
            <w:tcW w:w="845" w:type="dxa"/>
            <w:tcBorders>
              <w:top w:val="nil"/>
              <w:left w:val="nil"/>
              <w:bottom w:val="single" w:sz="4" w:space="0" w:color="auto"/>
              <w:right w:val="single" w:sz="4"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174</w:t>
            </w:r>
          </w:p>
        </w:tc>
        <w:tc>
          <w:tcPr>
            <w:tcW w:w="1015" w:type="dxa"/>
            <w:tcBorders>
              <w:top w:val="nil"/>
              <w:left w:val="nil"/>
              <w:bottom w:val="single" w:sz="4" w:space="0" w:color="auto"/>
              <w:right w:val="single" w:sz="8"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90%</w:t>
            </w:r>
          </w:p>
        </w:tc>
      </w:tr>
      <w:tr w:rsidR="00A958EE" w:rsidRPr="0032700F" w:rsidTr="00A958EE">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A958EE" w:rsidRPr="0032700F" w:rsidRDefault="00A958EE" w:rsidP="00A958EE">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Staff Selection and Training</w:t>
            </w:r>
          </w:p>
        </w:tc>
        <w:tc>
          <w:tcPr>
            <w:tcW w:w="845" w:type="dxa"/>
            <w:tcBorders>
              <w:top w:val="nil"/>
              <w:left w:val="nil"/>
              <w:bottom w:val="single" w:sz="4" w:space="0" w:color="auto"/>
              <w:right w:val="single" w:sz="4"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162</w:t>
            </w:r>
          </w:p>
        </w:tc>
        <w:tc>
          <w:tcPr>
            <w:tcW w:w="1015" w:type="dxa"/>
            <w:tcBorders>
              <w:top w:val="nil"/>
              <w:left w:val="nil"/>
              <w:bottom w:val="single" w:sz="4" w:space="0" w:color="auto"/>
              <w:right w:val="single" w:sz="8"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84%</w:t>
            </w:r>
          </w:p>
        </w:tc>
      </w:tr>
      <w:tr w:rsidR="00A958EE" w:rsidRPr="0032700F" w:rsidTr="00A958EE">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A958EE" w:rsidRPr="0032700F" w:rsidRDefault="00A958EE" w:rsidP="00A958EE">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Customer Service (Internal and External)</w:t>
            </w:r>
          </w:p>
        </w:tc>
        <w:tc>
          <w:tcPr>
            <w:tcW w:w="845" w:type="dxa"/>
            <w:tcBorders>
              <w:top w:val="nil"/>
              <w:left w:val="nil"/>
              <w:bottom w:val="single" w:sz="4" w:space="0" w:color="auto"/>
              <w:right w:val="single" w:sz="4"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44</w:t>
            </w:r>
          </w:p>
        </w:tc>
        <w:tc>
          <w:tcPr>
            <w:tcW w:w="1015" w:type="dxa"/>
            <w:tcBorders>
              <w:top w:val="nil"/>
              <w:left w:val="nil"/>
              <w:bottom w:val="single" w:sz="4" w:space="0" w:color="auto"/>
              <w:right w:val="single" w:sz="8"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23%</w:t>
            </w:r>
          </w:p>
        </w:tc>
      </w:tr>
      <w:tr w:rsidR="00A958EE" w:rsidRPr="0032700F" w:rsidTr="00A958EE">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A958EE" w:rsidRPr="0032700F" w:rsidRDefault="00A958EE" w:rsidP="00A958EE">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Staff /Student Development</w:t>
            </w:r>
          </w:p>
        </w:tc>
        <w:tc>
          <w:tcPr>
            <w:tcW w:w="845" w:type="dxa"/>
            <w:tcBorders>
              <w:top w:val="nil"/>
              <w:left w:val="nil"/>
              <w:bottom w:val="single" w:sz="4" w:space="0" w:color="auto"/>
              <w:right w:val="single" w:sz="4"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41</w:t>
            </w:r>
          </w:p>
        </w:tc>
        <w:tc>
          <w:tcPr>
            <w:tcW w:w="1015" w:type="dxa"/>
            <w:tcBorders>
              <w:top w:val="nil"/>
              <w:left w:val="nil"/>
              <w:bottom w:val="single" w:sz="4" w:space="0" w:color="auto"/>
              <w:right w:val="single" w:sz="8" w:space="0" w:color="auto"/>
            </w:tcBorders>
            <w:shd w:val="clear" w:color="auto" w:fill="auto"/>
            <w:noWrap/>
            <w:vAlign w:val="bottom"/>
            <w:hideMark/>
          </w:tcPr>
          <w:p w:rsidR="00A958EE" w:rsidRPr="0032700F" w:rsidRDefault="00A958EE" w:rsidP="00A958EE">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21%</w:t>
            </w:r>
          </w:p>
        </w:tc>
      </w:tr>
    </w:tbl>
    <w:p w:rsidR="00A958EE" w:rsidRPr="0032700F" w:rsidRDefault="00A958EE" w:rsidP="00111421">
      <w:pPr>
        <w:spacing w:line="480" w:lineRule="auto"/>
        <w:rPr>
          <w:rFonts w:ascii="Times New Roman" w:hAnsi="Times New Roman" w:cs="Times New Roman"/>
        </w:rPr>
      </w:pPr>
    </w:p>
    <w:p w:rsidR="00A958EE" w:rsidRPr="0032700F" w:rsidRDefault="00A958EE" w:rsidP="00111421">
      <w:pPr>
        <w:spacing w:line="480" w:lineRule="auto"/>
        <w:rPr>
          <w:rFonts w:ascii="Times New Roman" w:hAnsi="Times New Roman" w:cs="Times New Roman"/>
        </w:rPr>
      </w:pPr>
      <w:r w:rsidRPr="0032700F">
        <w:rPr>
          <w:rFonts w:ascii="Times New Roman" w:hAnsi="Times New Roman" w:cs="Times New Roman"/>
        </w:rPr>
        <w:tab/>
        <w:t xml:space="preserve">As a competency area, business management is not a highly significant part of the graduate assistant experience in collegiate recreation.  While 54% of the positions state a need for verbal / written communication skills this seems to be a more an afterthought bullet that is added to every list of requirements as it rarely appeared in the responsibilities listed in the position description.  Still it is clear that with the moderate level of representation of not only communication but policy development and implementation, public relations and marketing as well as budgeting and resource allocation it is clear that assistantships are exposing students to the business side of the industry.  Please reference Table 2.4 for specific totals and percentages. A notable omission is that not one position indicated the importance of </w:t>
      </w:r>
      <w:r w:rsidR="0003345A" w:rsidRPr="0032700F">
        <w:rPr>
          <w:rFonts w:ascii="Times New Roman" w:hAnsi="Times New Roman" w:cs="Times New Roman"/>
        </w:rPr>
        <w:t xml:space="preserve">sustainability as a critical component. </w:t>
      </w:r>
    </w:p>
    <w:tbl>
      <w:tblPr>
        <w:tblW w:w="8740" w:type="dxa"/>
        <w:tblInd w:w="93" w:type="dxa"/>
        <w:tblLook w:val="04A0" w:firstRow="1" w:lastRow="0" w:firstColumn="1" w:lastColumn="0" w:noHBand="0" w:noVBand="1"/>
      </w:tblPr>
      <w:tblGrid>
        <w:gridCol w:w="6880"/>
        <w:gridCol w:w="845"/>
        <w:gridCol w:w="1015"/>
      </w:tblGrid>
      <w:tr w:rsidR="0003345A" w:rsidRPr="0032700F" w:rsidTr="0003345A">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345A" w:rsidRPr="0032700F" w:rsidRDefault="0003345A" w:rsidP="0003345A">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2.4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03345A" w:rsidRPr="0032700F" w:rsidRDefault="0003345A" w:rsidP="0003345A">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Business Management</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Verbal / Written Communication</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105</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Policy Development and Implementation</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59</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31%</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Public Relations and Marketing</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56</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29%</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Budgeting and Resource Acquisition</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47</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24%</w:t>
            </w:r>
          </w:p>
        </w:tc>
      </w:tr>
    </w:tbl>
    <w:p w:rsidR="0003345A" w:rsidRPr="0032700F" w:rsidRDefault="0003345A" w:rsidP="00111421">
      <w:pPr>
        <w:spacing w:line="480" w:lineRule="auto"/>
        <w:rPr>
          <w:rFonts w:ascii="Times New Roman" w:hAnsi="Times New Roman" w:cs="Times New Roman"/>
        </w:rPr>
      </w:pPr>
      <w:r w:rsidRPr="0032700F">
        <w:rPr>
          <w:rFonts w:ascii="Times New Roman" w:hAnsi="Times New Roman" w:cs="Times New Roman"/>
        </w:rPr>
        <w:t xml:space="preserve"> </w:t>
      </w:r>
    </w:p>
    <w:p w:rsidR="0003345A" w:rsidRPr="0032700F" w:rsidRDefault="0003345A" w:rsidP="00111421">
      <w:pPr>
        <w:spacing w:line="480" w:lineRule="auto"/>
        <w:rPr>
          <w:rFonts w:ascii="Times New Roman" w:hAnsi="Times New Roman" w:cs="Times New Roman"/>
        </w:rPr>
      </w:pPr>
      <w:r w:rsidRPr="0032700F">
        <w:rPr>
          <w:rFonts w:ascii="Times New Roman" w:hAnsi="Times New Roman" w:cs="Times New Roman"/>
        </w:rPr>
        <w:tab/>
        <w:t xml:space="preserve">In their definition of facility management, planning and design NIRSA points to the recent trend of facility and expansion, indication that it “…covers a broad scope of skill sets needed to successfully operate, maintain and plan new attractive, safe and fully operable built environments.” </w:t>
      </w:r>
      <w:r w:rsidR="00265223" w:rsidRPr="0032700F">
        <w:rPr>
          <w:rFonts w:ascii="Times New Roman" w:hAnsi="Times New Roman" w:cs="Times New Roman"/>
        </w:rPr>
        <w:t>(Core Competencies (NIRSA))</w:t>
      </w:r>
      <w:r w:rsidRPr="0032700F">
        <w:rPr>
          <w:rFonts w:ascii="Times New Roman" w:hAnsi="Times New Roman" w:cs="Times New Roman"/>
        </w:rPr>
        <w:t xml:space="preserve">.  With facilities being a specific community of </w:t>
      </w:r>
      <w:r w:rsidRPr="0032700F">
        <w:rPr>
          <w:rFonts w:ascii="Times New Roman" w:hAnsi="Times New Roman" w:cs="Times New Roman"/>
        </w:rPr>
        <w:lastRenderedPageBreak/>
        <w:t xml:space="preserve">practice one could accurately assume that this specific competency area is very prominent in that specialization. Many assistantships develop individuals in the sub-categories of facility operations and management, event management and equipment and supplies.  If for no other reason, many of the postings indicated that the graduate assistants regardless of their specialization would be assisting with facility supervision and special events. See Appendix A for a breakdown across all specializations and Table 2.5 for the totals on the most commonly represented sub-categories in this competency area. </w:t>
      </w:r>
    </w:p>
    <w:tbl>
      <w:tblPr>
        <w:tblW w:w="8740" w:type="dxa"/>
        <w:tblInd w:w="93" w:type="dxa"/>
        <w:tblLook w:val="04A0" w:firstRow="1" w:lastRow="0" w:firstColumn="1" w:lastColumn="0" w:noHBand="0" w:noVBand="1"/>
      </w:tblPr>
      <w:tblGrid>
        <w:gridCol w:w="6880"/>
        <w:gridCol w:w="845"/>
        <w:gridCol w:w="1015"/>
      </w:tblGrid>
      <w:tr w:rsidR="0003345A" w:rsidRPr="0032700F" w:rsidTr="0003345A">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345A" w:rsidRPr="0032700F" w:rsidRDefault="0003345A" w:rsidP="0003345A">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2.5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03345A" w:rsidRPr="0032700F" w:rsidRDefault="0003345A" w:rsidP="0003345A">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Facility Management / Planning / Design</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Facility Operations and Management</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104</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Event Management</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100</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52%</w:t>
            </w:r>
          </w:p>
        </w:tc>
      </w:tr>
      <w:tr w:rsidR="0003345A" w:rsidRPr="0032700F" w:rsidTr="0003345A">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03345A" w:rsidRPr="0032700F" w:rsidRDefault="0003345A" w:rsidP="0003345A">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Equipment and Supplies</w:t>
            </w:r>
          </w:p>
        </w:tc>
        <w:tc>
          <w:tcPr>
            <w:tcW w:w="845" w:type="dxa"/>
            <w:tcBorders>
              <w:top w:val="nil"/>
              <w:left w:val="nil"/>
              <w:bottom w:val="single" w:sz="4" w:space="0" w:color="auto"/>
              <w:right w:val="single" w:sz="4"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86</w:t>
            </w:r>
          </w:p>
        </w:tc>
        <w:tc>
          <w:tcPr>
            <w:tcW w:w="1015" w:type="dxa"/>
            <w:tcBorders>
              <w:top w:val="nil"/>
              <w:left w:val="nil"/>
              <w:bottom w:val="single" w:sz="4" w:space="0" w:color="auto"/>
              <w:right w:val="single" w:sz="8" w:space="0" w:color="auto"/>
            </w:tcBorders>
            <w:shd w:val="clear" w:color="auto" w:fill="auto"/>
            <w:noWrap/>
            <w:vAlign w:val="bottom"/>
            <w:hideMark/>
          </w:tcPr>
          <w:p w:rsidR="0003345A" w:rsidRPr="0032700F" w:rsidRDefault="0003345A" w:rsidP="0003345A">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45%</w:t>
            </w:r>
          </w:p>
        </w:tc>
      </w:tr>
    </w:tbl>
    <w:p w:rsidR="0003345A" w:rsidRPr="0032700F" w:rsidRDefault="0003345A" w:rsidP="00111421">
      <w:pPr>
        <w:spacing w:line="480" w:lineRule="auto"/>
        <w:rPr>
          <w:rFonts w:ascii="Times New Roman" w:hAnsi="Times New Roman" w:cs="Times New Roman"/>
        </w:rPr>
      </w:pPr>
    </w:p>
    <w:p w:rsidR="0003345A" w:rsidRPr="0032700F" w:rsidRDefault="0003345A" w:rsidP="00111421">
      <w:pPr>
        <w:spacing w:line="480" w:lineRule="auto"/>
        <w:rPr>
          <w:rFonts w:ascii="Times New Roman" w:hAnsi="Times New Roman" w:cs="Times New Roman"/>
        </w:rPr>
      </w:pPr>
      <w:r w:rsidRPr="0032700F">
        <w:rPr>
          <w:rFonts w:ascii="Times New Roman" w:hAnsi="Times New Roman" w:cs="Times New Roman"/>
        </w:rPr>
        <w:tab/>
      </w:r>
      <w:r w:rsidR="00C4573D" w:rsidRPr="0032700F">
        <w:rPr>
          <w:rFonts w:ascii="Times New Roman" w:hAnsi="Times New Roman" w:cs="Times New Roman"/>
        </w:rPr>
        <w:t>In</w:t>
      </w:r>
      <w:r w:rsidRPr="0032700F">
        <w:rPr>
          <w:rFonts w:ascii="Times New Roman" w:hAnsi="Times New Roman" w:cs="Times New Roman"/>
        </w:rPr>
        <w:t xml:space="preserve"> their definition of research and evaluation NIRSA indicates that “</w:t>
      </w:r>
      <w:r w:rsidR="00C4573D" w:rsidRPr="0032700F">
        <w:rPr>
          <w:rFonts w:ascii="Times New Roman" w:hAnsi="Times New Roman" w:cs="Times New Roman"/>
        </w:rPr>
        <w:t>As a profession, collegiate recreation must continue generating research that increase knowledge that advances the profession</w:t>
      </w:r>
      <w:r w:rsidRPr="0032700F">
        <w:rPr>
          <w:rFonts w:ascii="Times New Roman" w:hAnsi="Times New Roman" w:cs="Times New Roman"/>
        </w:rPr>
        <w:t xml:space="preserve">.” </w:t>
      </w:r>
      <w:r w:rsidR="00265223" w:rsidRPr="0032700F">
        <w:rPr>
          <w:rFonts w:ascii="Times New Roman" w:hAnsi="Times New Roman" w:cs="Times New Roman"/>
        </w:rPr>
        <w:t>(Core Competencies (NIRSA))</w:t>
      </w:r>
      <w:r w:rsidR="00C4573D" w:rsidRPr="0032700F">
        <w:rPr>
          <w:rFonts w:ascii="Times New Roman" w:hAnsi="Times New Roman" w:cs="Times New Roman"/>
        </w:rPr>
        <w:t xml:space="preserve">  While this competency is critical, it does seem that the graduate assistant positions have not yet caught up to this trend. Only one of the sub-categories, program assessment, is represented by more than 10% of the positions.   The remaining six sub-categories in this competency area seem largely neglected with the notable exception marketing which referenced assessment and evaluations in 40% of their position descriptions.   Table 2.6 depicts the only sub-category of significance in this area. </w:t>
      </w:r>
    </w:p>
    <w:tbl>
      <w:tblPr>
        <w:tblW w:w="8740" w:type="dxa"/>
        <w:tblInd w:w="93" w:type="dxa"/>
        <w:tblLook w:val="04A0" w:firstRow="1" w:lastRow="0" w:firstColumn="1" w:lastColumn="0" w:noHBand="0" w:noVBand="1"/>
      </w:tblPr>
      <w:tblGrid>
        <w:gridCol w:w="6880"/>
        <w:gridCol w:w="686"/>
        <w:gridCol w:w="1174"/>
      </w:tblGrid>
      <w:tr w:rsidR="00C4573D" w:rsidRPr="0032700F" w:rsidTr="00C4573D">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573D" w:rsidRPr="0032700F" w:rsidRDefault="00C4573D" w:rsidP="00C4573D">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2.6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C4573D" w:rsidRPr="0032700F" w:rsidRDefault="00C4573D" w:rsidP="00C4573D">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C4573D" w:rsidRPr="0032700F" w:rsidTr="00C4573D">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C4573D" w:rsidRPr="0032700F" w:rsidRDefault="00C4573D" w:rsidP="00C4573D">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Research / Evaluation</w:t>
            </w:r>
          </w:p>
        </w:tc>
        <w:tc>
          <w:tcPr>
            <w:tcW w:w="686" w:type="dxa"/>
            <w:tcBorders>
              <w:top w:val="nil"/>
              <w:left w:val="nil"/>
              <w:bottom w:val="single" w:sz="4" w:space="0" w:color="auto"/>
              <w:right w:val="single" w:sz="4" w:space="0" w:color="auto"/>
            </w:tcBorders>
            <w:shd w:val="clear" w:color="auto" w:fill="auto"/>
            <w:noWrap/>
            <w:vAlign w:val="bottom"/>
            <w:hideMark/>
          </w:tcPr>
          <w:p w:rsidR="00C4573D" w:rsidRPr="0032700F" w:rsidRDefault="00C4573D" w:rsidP="00C4573D">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174" w:type="dxa"/>
            <w:tcBorders>
              <w:top w:val="nil"/>
              <w:left w:val="nil"/>
              <w:bottom w:val="single" w:sz="4" w:space="0" w:color="auto"/>
              <w:right w:val="single" w:sz="8" w:space="0" w:color="auto"/>
            </w:tcBorders>
            <w:shd w:val="clear" w:color="auto" w:fill="auto"/>
            <w:noWrap/>
            <w:vAlign w:val="bottom"/>
            <w:hideMark/>
          </w:tcPr>
          <w:p w:rsidR="00C4573D" w:rsidRPr="0032700F" w:rsidRDefault="00C4573D" w:rsidP="00C4573D">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C4573D" w:rsidRPr="0032700F" w:rsidTr="00C4573D">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C4573D" w:rsidRPr="0032700F" w:rsidRDefault="00C4573D" w:rsidP="00C4573D">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Program Assessment</w:t>
            </w:r>
          </w:p>
        </w:tc>
        <w:tc>
          <w:tcPr>
            <w:tcW w:w="686" w:type="dxa"/>
            <w:tcBorders>
              <w:top w:val="nil"/>
              <w:left w:val="nil"/>
              <w:bottom w:val="single" w:sz="4" w:space="0" w:color="auto"/>
              <w:right w:val="single" w:sz="4" w:space="0" w:color="auto"/>
            </w:tcBorders>
            <w:shd w:val="clear" w:color="auto" w:fill="auto"/>
            <w:noWrap/>
            <w:vAlign w:val="bottom"/>
            <w:hideMark/>
          </w:tcPr>
          <w:p w:rsidR="00C4573D" w:rsidRPr="0032700F" w:rsidRDefault="00C4573D" w:rsidP="00C4573D">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67</w:t>
            </w:r>
          </w:p>
        </w:tc>
        <w:tc>
          <w:tcPr>
            <w:tcW w:w="1174" w:type="dxa"/>
            <w:tcBorders>
              <w:top w:val="nil"/>
              <w:left w:val="nil"/>
              <w:bottom w:val="single" w:sz="4" w:space="0" w:color="auto"/>
              <w:right w:val="single" w:sz="8" w:space="0" w:color="auto"/>
            </w:tcBorders>
            <w:shd w:val="clear" w:color="auto" w:fill="auto"/>
            <w:noWrap/>
            <w:vAlign w:val="bottom"/>
            <w:hideMark/>
          </w:tcPr>
          <w:p w:rsidR="00C4573D" w:rsidRPr="0032700F" w:rsidRDefault="00C4573D" w:rsidP="00C4573D">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35%</w:t>
            </w:r>
          </w:p>
        </w:tc>
      </w:tr>
    </w:tbl>
    <w:p w:rsidR="00C4573D" w:rsidRPr="0032700F" w:rsidRDefault="00C4573D" w:rsidP="00111421">
      <w:pPr>
        <w:spacing w:line="480" w:lineRule="auto"/>
        <w:rPr>
          <w:rFonts w:ascii="Times New Roman" w:hAnsi="Times New Roman" w:cs="Times New Roman"/>
        </w:rPr>
      </w:pPr>
    </w:p>
    <w:p w:rsidR="00C4573D" w:rsidRPr="0032700F" w:rsidRDefault="00C4573D" w:rsidP="00111421">
      <w:pPr>
        <w:spacing w:line="480" w:lineRule="auto"/>
        <w:rPr>
          <w:rFonts w:ascii="Times New Roman" w:hAnsi="Times New Roman" w:cs="Times New Roman"/>
        </w:rPr>
      </w:pPr>
      <w:r w:rsidRPr="0032700F">
        <w:rPr>
          <w:rFonts w:ascii="Times New Roman" w:hAnsi="Times New Roman" w:cs="Times New Roman"/>
        </w:rPr>
        <w:lastRenderedPageBreak/>
        <w:tab/>
        <w:t xml:space="preserve">The mere mention of the </w:t>
      </w:r>
      <w:r w:rsidR="00683385" w:rsidRPr="0032700F">
        <w:rPr>
          <w:rFonts w:ascii="Times New Roman" w:hAnsi="Times New Roman" w:cs="Times New Roman"/>
        </w:rPr>
        <w:t>competency area</w:t>
      </w:r>
      <w:r w:rsidRPr="0032700F">
        <w:rPr>
          <w:rFonts w:ascii="Times New Roman" w:hAnsi="Times New Roman" w:cs="Times New Roman"/>
        </w:rPr>
        <w:t xml:space="preserve"> legal liability and risk management is enough to make any director or university administrator tighten up and pay attention.  As NIRSA warns in their description of this competency area, “…the litigious nature of our society, collegiate recreation professionals must be able to identify and manage risks</w:t>
      </w:r>
      <w:r w:rsidR="00683385" w:rsidRPr="0032700F">
        <w:rPr>
          <w:rFonts w:ascii="Times New Roman" w:hAnsi="Times New Roman" w:cs="Times New Roman"/>
        </w:rPr>
        <w:t>.”    Perhaps that is why 35% of the industry wide position postings referenced responsibilities in risk management.  There are notable discrepancies between communities of practice in this competency however with several demonstrating that nearly 60% of their positions require this competency while less than 25% of other specializations require it.  Perhaps the most concerning statistic in the entire data set is that only 15 positions or 8% of all of the positions indicated responsibility or knowledge of an emergency action plan or as the sub-category is titled, crisis management.  See table 2.7 for a  breakdown of all five sub-categories in this area.</w:t>
      </w:r>
    </w:p>
    <w:tbl>
      <w:tblPr>
        <w:tblW w:w="8740" w:type="dxa"/>
        <w:tblInd w:w="93" w:type="dxa"/>
        <w:tblLook w:val="04A0" w:firstRow="1" w:lastRow="0" w:firstColumn="1" w:lastColumn="0" w:noHBand="0" w:noVBand="1"/>
      </w:tblPr>
      <w:tblGrid>
        <w:gridCol w:w="6880"/>
        <w:gridCol w:w="686"/>
        <w:gridCol w:w="1174"/>
      </w:tblGrid>
      <w:tr w:rsidR="00683385" w:rsidRPr="0032700F" w:rsidTr="00683385">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3385" w:rsidRPr="0032700F" w:rsidRDefault="00F36953" w:rsidP="00683385">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Table 2.7</w:t>
            </w:r>
            <w:r w:rsidR="00683385" w:rsidRPr="0032700F">
              <w:rPr>
                <w:rFonts w:ascii="Times New Roman" w:eastAsia="Times New Roman" w:hAnsi="Times New Roman" w:cs="Times New Roman"/>
                <w:b/>
                <w:bCs/>
                <w:color w:val="000000"/>
              </w:rPr>
              <w:t xml:space="preserve">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683385" w:rsidRPr="0032700F" w:rsidRDefault="00683385" w:rsidP="00683385">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Legal Liability / Risk Management</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Risk Management</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68</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35%</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Crisis Management</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15</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Sports Waivers and Consent</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7</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Insurance Coverage and Plans</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683385" w:rsidRPr="0032700F" w:rsidTr="00683385">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683385" w:rsidRPr="0032700F" w:rsidRDefault="00683385" w:rsidP="00683385">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Legal Process</w:t>
            </w:r>
          </w:p>
        </w:tc>
        <w:tc>
          <w:tcPr>
            <w:tcW w:w="686" w:type="dxa"/>
            <w:tcBorders>
              <w:top w:val="nil"/>
              <w:left w:val="nil"/>
              <w:bottom w:val="single" w:sz="4" w:space="0" w:color="auto"/>
              <w:right w:val="single" w:sz="4"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174" w:type="dxa"/>
            <w:tcBorders>
              <w:top w:val="nil"/>
              <w:left w:val="nil"/>
              <w:bottom w:val="single" w:sz="4" w:space="0" w:color="auto"/>
              <w:right w:val="single" w:sz="8" w:space="0" w:color="auto"/>
            </w:tcBorders>
            <w:shd w:val="clear" w:color="auto" w:fill="auto"/>
            <w:noWrap/>
            <w:vAlign w:val="bottom"/>
            <w:hideMark/>
          </w:tcPr>
          <w:p w:rsidR="00683385" w:rsidRPr="0032700F" w:rsidRDefault="00683385" w:rsidP="00683385">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bl>
    <w:p w:rsidR="00683385" w:rsidRPr="0032700F" w:rsidRDefault="00683385" w:rsidP="00111421">
      <w:pPr>
        <w:spacing w:line="480" w:lineRule="auto"/>
        <w:rPr>
          <w:rFonts w:ascii="Times New Roman" w:hAnsi="Times New Roman" w:cs="Times New Roman"/>
        </w:rPr>
      </w:pPr>
    </w:p>
    <w:p w:rsidR="00683385" w:rsidRPr="0032700F" w:rsidRDefault="00683385" w:rsidP="00111421">
      <w:pPr>
        <w:spacing w:line="480" w:lineRule="auto"/>
        <w:rPr>
          <w:rFonts w:ascii="Times New Roman" w:hAnsi="Times New Roman" w:cs="Times New Roman"/>
        </w:rPr>
      </w:pPr>
      <w:r w:rsidRPr="0032700F">
        <w:rPr>
          <w:rFonts w:ascii="Times New Roman" w:hAnsi="Times New Roman" w:cs="Times New Roman"/>
        </w:rPr>
        <w:tab/>
        <w:t xml:space="preserve"> In comparison to the other competency areas, personal / professional qualities might be the most difficult to measure as it is comprised almost entirely of soft skills.  That may be why not one of the </w:t>
      </w:r>
      <w:r w:rsidR="00F36953" w:rsidRPr="0032700F">
        <w:rPr>
          <w:rFonts w:ascii="Times New Roman" w:hAnsi="Times New Roman" w:cs="Times New Roman"/>
        </w:rPr>
        <w:t xml:space="preserve">nine sub-categories is evident in more than 10% of the position postings across the industry.  The two most notable areas that are evident from this competency are prioritization and equity, diversity and inclusion which both appeared in roughly 10% of the postings.  Table </w:t>
      </w:r>
      <w:r w:rsidR="00F36953" w:rsidRPr="0032700F">
        <w:rPr>
          <w:rFonts w:ascii="Times New Roman" w:hAnsi="Times New Roman" w:cs="Times New Roman"/>
        </w:rPr>
        <w:lastRenderedPageBreak/>
        <w:t xml:space="preserve">2.8 shows that nearly 20 of the 193 total positions mentions the need for these qualities in a successful graduate assistant. </w:t>
      </w:r>
    </w:p>
    <w:tbl>
      <w:tblPr>
        <w:tblW w:w="8740" w:type="dxa"/>
        <w:tblInd w:w="93" w:type="dxa"/>
        <w:tblLook w:val="04A0" w:firstRow="1" w:lastRow="0" w:firstColumn="1" w:lastColumn="0" w:noHBand="0" w:noVBand="1"/>
      </w:tblPr>
      <w:tblGrid>
        <w:gridCol w:w="6880"/>
        <w:gridCol w:w="686"/>
        <w:gridCol w:w="1174"/>
      </w:tblGrid>
      <w:tr w:rsidR="00F36953" w:rsidRPr="0032700F" w:rsidTr="00F36953">
        <w:trPr>
          <w:trHeight w:val="795"/>
        </w:trPr>
        <w:tc>
          <w:tcPr>
            <w:tcW w:w="6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953" w:rsidRPr="0032700F" w:rsidRDefault="00F36953" w:rsidP="00F36953">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2.8 </w:t>
            </w:r>
          </w:p>
        </w:tc>
        <w:tc>
          <w:tcPr>
            <w:tcW w:w="1860" w:type="dxa"/>
            <w:gridSpan w:val="2"/>
            <w:tcBorders>
              <w:top w:val="single" w:sz="8" w:space="0" w:color="auto"/>
              <w:left w:val="nil"/>
              <w:bottom w:val="single" w:sz="8" w:space="0" w:color="auto"/>
              <w:right w:val="single" w:sz="8" w:space="0" w:color="000000"/>
            </w:tcBorders>
            <w:shd w:val="clear" w:color="auto" w:fill="auto"/>
            <w:vAlign w:val="bottom"/>
            <w:hideMark/>
          </w:tcPr>
          <w:p w:rsidR="00F36953" w:rsidRPr="0032700F" w:rsidRDefault="00F36953" w:rsidP="00F36953">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F36953" w:rsidRPr="0032700F" w:rsidTr="00F36953">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F36953" w:rsidRPr="0032700F" w:rsidRDefault="00F36953" w:rsidP="00F36953">
            <w:pPr>
              <w:rPr>
                <w:rFonts w:ascii="Times New Roman" w:eastAsia="Times New Roman" w:hAnsi="Times New Roman" w:cs="Times New Roman"/>
                <w:b/>
                <w:bCs/>
                <w:color w:val="333333"/>
                <w:u w:val="single"/>
              </w:rPr>
            </w:pPr>
            <w:r w:rsidRPr="0032700F">
              <w:rPr>
                <w:rFonts w:ascii="Times New Roman" w:eastAsia="Times New Roman" w:hAnsi="Times New Roman" w:cs="Times New Roman"/>
                <w:b/>
                <w:bCs/>
                <w:color w:val="333333"/>
                <w:u w:val="single"/>
              </w:rPr>
              <w:t>Personal / Professional Qualities</w:t>
            </w:r>
          </w:p>
        </w:tc>
        <w:tc>
          <w:tcPr>
            <w:tcW w:w="686" w:type="dxa"/>
            <w:tcBorders>
              <w:top w:val="nil"/>
              <w:left w:val="nil"/>
              <w:bottom w:val="single" w:sz="4" w:space="0" w:color="auto"/>
              <w:right w:val="single" w:sz="4" w:space="0" w:color="auto"/>
            </w:tcBorders>
            <w:shd w:val="clear" w:color="auto" w:fill="auto"/>
            <w:noWrap/>
            <w:vAlign w:val="bottom"/>
            <w:hideMark/>
          </w:tcPr>
          <w:p w:rsidR="00F36953" w:rsidRPr="0032700F" w:rsidRDefault="00F36953" w:rsidP="00F36953">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c>
          <w:tcPr>
            <w:tcW w:w="1174" w:type="dxa"/>
            <w:tcBorders>
              <w:top w:val="nil"/>
              <w:left w:val="nil"/>
              <w:bottom w:val="single" w:sz="4" w:space="0" w:color="auto"/>
              <w:right w:val="single" w:sz="8" w:space="0" w:color="auto"/>
            </w:tcBorders>
            <w:shd w:val="clear" w:color="auto" w:fill="auto"/>
            <w:noWrap/>
            <w:vAlign w:val="bottom"/>
            <w:hideMark/>
          </w:tcPr>
          <w:p w:rsidR="00F36953" w:rsidRPr="0032700F" w:rsidRDefault="00F36953" w:rsidP="00F36953">
            <w:pPr>
              <w:rPr>
                <w:rFonts w:ascii="Times New Roman" w:eastAsia="Times New Roman" w:hAnsi="Times New Roman" w:cs="Times New Roman"/>
                <w:color w:val="000000"/>
              </w:rPr>
            </w:pPr>
            <w:r w:rsidRPr="0032700F">
              <w:rPr>
                <w:rFonts w:ascii="Times New Roman" w:eastAsia="Times New Roman" w:hAnsi="Times New Roman" w:cs="Times New Roman"/>
                <w:color w:val="000000"/>
              </w:rPr>
              <w:t> </w:t>
            </w:r>
          </w:p>
        </w:tc>
      </w:tr>
      <w:tr w:rsidR="00F36953" w:rsidRPr="0032700F" w:rsidTr="00F36953">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Prioritization</w:t>
            </w:r>
          </w:p>
        </w:tc>
        <w:tc>
          <w:tcPr>
            <w:tcW w:w="686" w:type="dxa"/>
            <w:tcBorders>
              <w:top w:val="nil"/>
              <w:left w:val="nil"/>
              <w:bottom w:val="single" w:sz="4" w:space="0" w:color="auto"/>
              <w:right w:val="single" w:sz="4" w:space="0" w:color="auto"/>
            </w:tcBorders>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19</w:t>
            </w:r>
          </w:p>
        </w:tc>
        <w:tc>
          <w:tcPr>
            <w:tcW w:w="1174" w:type="dxa"/>
            <w:tcBorders>
              <w:top w:val="nil"/>
              <w:left w:val="nil"/>
              <w:bottom w:val="single" w:sz="4" w:space="0" w:color="auto"/>
              <w:right w:val="single" w:sz="8" w:space="0" w:color="auto"/>
            </w:tcBorders>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w:t>
            </w:r>
          </w:p>
        </w:tc>
      </w:tr>
      <w:tr w:rsidR="00F36953" w:rsidRPr="0032700F" w:rsidTr="00F36953">
        <w:trPr>
          <w:trHeight w:val="315"/>
        </w:trPr>
        <w:tc>
          <w:tcPr>
            <w:tcW w:w="6880" w:type="dxa"/>
            <w:tcBorders>
              <w:top w:val="nil"/>
              <w:left w:val="single" w:sz="8" w:space="0" w:color="auto"/>
              <w:bottom w:val="single" w:sz="4" w:space="0" w:color="auto"/>
              <w:right w:val="single" w:sz="4" w:space="0" w:color="auto"/>
            </w:tcBorders>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Equity, Diversity and Inclusion</w:t>
            </w:r>
          </w:p>
        </w:tc>
        <w:tc>
          <w:tcPr>
            <w:tcW w:w="686" w:type="dxa"/>
            <w:tcBorders>
              <w:top w:val="nil"/>
              <w:left w:val="nil"/>
              <w:bottom w:val="single" w:sz="4" w:space="0" w:color="auto"/>
              <w:right w:val="single" w:sz="4" w:space="0" w:color="auto"/>
            </w:tcBorders>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18</w:t>
            </w:r>
          </w:p>
        </w:tc>
        <w:tc>
          <w:tcPr>
            <w:tcW w:w="1174" w:type="dxa"/>
            <w:tcBorders>
              <w:top w:val="nil"/>
              <w:left w:val="nil"/>
              <w:bottom w:val="single" w:sz="4" w:space="0" w:color="auto"/>
              <w:right w:val="single" w:sz="8" w:space="0" w:color="auto"/>
            </w:tcBorders>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9%</w:t>
            </w:r>
          </w:p>
        </w:tc>
      </w:tr>
    </w:tbl>
    <w:p w:rsidR="00F36953" w:rsidRPr="0032700F" w:rsidRDefault="00F36953" w:rsidP="00111421">
      <w:pPr>
        <w:spacing w:line="480" w:lineRule="auto"/>
        <w:rPr>
          <w:rFonts w:ascii="Times New Roman" w:hAnsi="Times New Roman" w:cs="Times New Roman"/>
        </w:rPr>
      </w:pPr>
    </w:p>
    <w:p w:rsidR="00F36953" w:rsidRPr="0032700F" w:rsidRDefault="00F36953" w:rsidP="0059776C">
      <w:pPr>
        <w:spacing w:line="480" w:lineRule="auto"/>
        <w:ind w:firstLine="720"/>
        <w:rPr>
          <w:rFonts w:ascii="Times New Roman" w:hAnsi="Times New Roman" w:cs="Times New Roman"/>
        </w:rPr>
      </w:pPr>
      <w:r w:rsidRPr="0032700F">
        <w:rPr>
          <w:rFonts w:ascii="Times New Roman" w:hAnsi="Times New Roman" w:cs="Times New Roman"/>
        </w:rPr>
        <w:t xml:space="preserve">Table 2.9A  illustrates the top ten sub-categories as reflected by the industry wide data set.  </w:t>
      </w:r>
    </w:p>
    <w:tbl>
      <w:tblPr>
        <w:tblW w:w="8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845"/>
        <w:gridCol w:w="1015"/>
      </w:tblGrid>
      <w:tr w:rsidR="00F36953" w:rsidRPr="0032700F" w:rsidTr="000A164F">
        <w:trPr>
          <w:trHeight w:val="795"/>
        </w:trPr>
        <w:tc>
          <w:tcPr>
            <w:tcW w:w="6880" w:type="dxa"/>
            <w:shd w:val="clear" w:color="auto" w:fill="auto"/>
            <w:noWrap/>
            <w:vAlign w:val="center"/>
            <w:hideMark/>
          </w:tcPr>
          <w:p w:rsidR="00F36953" w:rsidRPr="0032700F" w:rsidRDefault="00F36953" w:rsidP="00F36953">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2.9A </w:t>
            </w:r>
          </w:p>
        </w:tc>
        <w:tc>
          <w:tcPr>
            <w:tcW w:w="1860" w:type="dxa"/>
            <w:gridSpan w:val="2"/>
            <w:shd w:val="clear" w:color="auto" w:fill="auto"/>
            <w:vAlign w:val="bottom"/>
            <w:hideMark/>
          </w:tcPr>
          <w:p w:rsidR="00F36953" w:rsidRPr="0032700F" w:rsidRDefault="00F36953" w:rsidP="00F36953">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Personnel / Human Resource Management</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174</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90%</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Staff Selection and Training</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162</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84%</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Standards of Practice</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121</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63%</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Verbal / Written Communication</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105</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Program Development</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104</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Facility Operations and Management</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104</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54%</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Event Management</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100</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52%</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Teaching and Training</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91</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47%</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Scheduling</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89</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46%</w:t>
            </w:r>
          </w:p>
        </w:tc>
      </w:tr>
      <w:tr w:rsidR="00F36953" w:rsidRPr="0032700F" w:rsidTr="000A164F">
        <w:trPr>
          <w:trHeight w:val="315"/>
        </w:trPr>
        <w:tc>
          <w:tcPr>
            <w:tcW w:w="6880" w:type="dxa"/>
            <w:shd w:val="clear" w:color="000000" w:fill="FFFFFF"/>
            <w:vAlign w:val="bottom"/>
            <w:hideMark/>
          </w:tcPr>
          <w:p w:rsidR="00F36953" w:rsidRPr="0032700F" w:rsidRDefault="00F36953" w:rsidP="00F36953">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Equipment and Supplies</w:t>
            </w:r>
          </w:p>
        </w:tc>
        <w:tc>
          <w:tcPr>
            <w:tcW w:w="84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86</w:t>
            </w:r>
          </w:p>
        </w:tc>
        <w:tc>
          <w:tcPr>
            <w:tcW w:w="1015" w:type="dxa"/>
            <w:shd w:val="clear" w:color="auto" w:fill="auto"/>
            <w:noWrap/>
            <w:vAlign w:val="bottom"/>
            <w:hideMark/>
          </w:tcPr>
          <w:p w:rsidR="00F36953" w:rsidRPr="0032700F" w:rsidRDefault="00F36953" w:rsidP="00F36953">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45%</w:t>
            </w:r>
          </w:p>
        </w:tc>
      </w:tr>
    </w:tbl>
    <w:p w:rsidR="00F36953" w:rsidRPr="0032700F" w:rsidRDefault="00F36953" w:rsidP="00111421">
      <w:pPr>
        <w:spacing w:line="480" w:lineRule="auto"/>
        <w:rPr>
          <w:rFonts w:ascii="Times New Roman" w:hAnsi="Times New Roman" w:cs="Times New Roman"/>
        </w:rPr>
      </w:pPr>
    </w:p>
    <w:p w:rsidR="0059776C" w:rsidRPr="0032700F" w:rsidRDefault="0059776C" w:rsidP="0059776C">
      <w:pPr>
        <w:spacing w:line="480" w:lineRule="auto"/>
        <w:ind w:firstLine="720"/>
        <w:rPr>
          <w:rFonts w:ascii="Times New Roman" w:hAnsi="Times New Roman" w:cs="Times New Roman"/>
        </w:rPr>
      </w:pPr>
      <w:r w:rsidRPr="0032700F">
        <w:rPr>
          <w:rFonts w:ascii="Times New Roman" w:hAnsi="Times New Roman" w:cs="Times New Roman"/>
        </w:rPr>
        <w:t>Table 2.9B shows the opposite end of the spectrum, highlighting all of the sub-categories tha</w:t>
      </w:r>
      <w:r w:rsidR="00C77A36" w:rsidRPr="0032700F">
        <w:rPr>
          <w:rFonts w:ascii="Times New Roman" w:hAnsi="Times New Roman" w:cs="Times New Roman"/>
        </w:rPr>
        <w:t xml:space="preserve">t were reflected in less than five percent of the industry wide data set of 193 reviewed position postings. </w:t>
      </w:r>
    </w:p>
    <w:tbl>
      <w:tblPr>
        <w:tblW w:w="8740" w:type="dxa"/>
        <w:tblInd w:w="93" w:type="dxa"/>
        <w:tblLook w:val="04A0" w:firstRow="1" w:lastRow="0" w:firstColumn="1" w:lastColumn="0" w:noHBand="0" w:noVBand="1"/>
      </w:tblPr>
      <w:tblGrid>
        <w:gridCol w:w="6880"/>
        <w:gridCol w:w="813"/>
        <w:gridCol w:w="1047"/>
      </w:tblGrid>
      <w:tr w:rsidR="00C77A36" w:rsidRPr="0032700F" w:rsidTr="00C77A36">
        <w:trPr>
          <w:trHeight w:val="79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36" w:rsidRPr="0032700F" w:rsidRDefault="00C77A36" w:rsidP="00C77A36">
            <w:pPr>
              <w:jc w:val="center"/>
              <w:rPr>
                <w:rFonts w:ascii="Times New Roman" w:eastAsia="Times New Roman" w:hAnsi="Times New Roman" w:cs="Times New Roman"/>
                <w:b/>
                <w:bCs/>
                <w:color w:val="000000"/>
              </w:rPr>
            </w:pPr>
            <w:r w:rsidRPr="0032700F">
              <w:rPr>
                <w:rFonts w:ascii="Times New Roman" w:eastAsia="Times New Roman" w:hAnsi="Times New Roman" w:cs="Times New Roman"/>
                <w:b/>
                <w:bCs/>
                <w:color w:val="000000"/>
              </w:rPr>
              <w:t xml:space="preserve">Table 2.9B </w:t>
            </w:r>
          </w:p>
        </w:tc>
        <w:tc>
          <w:tcPr>
            <w:tcW w:w="1860" w:type="dxa"/>
            <w:gridSpan w:val="2"/>
            <w:tcBorders>
              <w:top w:val="single" w:sz="4" w:space="0" w:color="auto"/>
              <w:left w:val="nil"/>
              <w:bottom w:val="single" w:sz="4" w:space="0" w:color="auto"/>
              <w:right w:val="single" w:sz="4" w:space="0" w:color="auto"/>
            </w:tcBorders>
            <w:shd w:val="clear" w:color="auto" w:fill="auto"/>
            <w:vAlign w:val="bottom"/>
            <w:hideMark/>
          </w:tcPr>
          <w:p w:rsidR="00C77A36" w:rsidRPr="0032700F" w:rsidRDefault="00C77A36" w:rsidP="00C77A36">
            <w:pPr>
              <w:jc w:val="center"/>
              <w:rPr>
                <w:rFonts w:ascii="Times New Roman" w:eastAsia="Times New Roman" w:hAnsi="Times New Roman" w:cs="Times New Roman"/>
                <w:color w:val="000000"/>
              </w:rPr>
            </w:pPr>
            <w:r w:rsidRPr="0032700F">
              <w:rPr>
                <w:rFonts w:ascii="Times New Roman" w:eastAsia="Times New Roman" w:hAnsi="Times New Roman" w:cs="Times New Roman"/>
                <w:color w:val="000000"/>
              </w:rPr>
              <w:t xml:space="preserve">Industry </w:t>
            </w:r>
            <w:r w:rsidR="000255BD" w:rsidRPr="0032700F">
              <w:rPr>
                <w:rFonts w:ascii="Times New Roman" w:eastAsia="Times New Roman" w:hAnsi="Times New Roman" w:cs="Times New Roman"/>
                <w:color w:val="000000"/>
              </w:rPr>
              <w:t>–</w:t>
            </w:r>
            <w:r w:rsidRPr="0032700F">
              <w:rPr>
                <w:rFonts w:ascii="Times New Roman" w:eastAsia="Times New Roman" w:hAnsi="Times New Roman" w:cs="Times New Roman"/>
                <w:color w:val="000000"/>
              </w:rPr>
              <w:t xml:space="preserve"> Wide          193 Positions            </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CAS Standards for Recreational Sports Perspectives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Health and Wellness Theories and Models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Service</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Administrative / Executive Leadership Development</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lastRenderedPageBreak/>
              <w:t>Debt Mgmt, Financing, Building Reserves, Revenue Gen &amp; Dev</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Sustainable Communities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Facility Planning and Design</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Legal Process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Networking</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Service</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0%</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Learning Outcomes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Resources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Sustainability</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Global Perspective</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Organizational Development</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Governance Structures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Organization</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Participation-Based Philosophical Perspectives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Facility Life Cycling (Maintenance, Renewal, Enhancement)</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Vendors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Insurance Coverage and Plans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Adaptability</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Global Perspective</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Student Affairs Issues and Theories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Health and Wellbeing</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Ethical Behavior</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2%</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Student Development Theory</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Equity, Diversity, and Inclusion</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Applies Recreational Sports Research</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Analytical Skills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6</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3%</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Equity and Diversity</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7</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Sports Waivers and Consent</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7</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4%</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Dissemination of Results</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Problem Solving</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r>
      <w:tr w:rsidR="00C77A36" w:rsidRPr="0032700F" w:rsidTr="00C77A36">
        <w:trPr>
          <w:trHeight w:val="315"/>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C77A36" w:rsidRPr="0032700F" w:rsidRDefault="00C77A36" w:rsidP="00C77A36">
            <w:pPr>
              <w:rPr>
                <w:rFonts w:ascii="Times New Roman" w:eastAsia="Times New Roman" w:hAnsi="Times New Roman" w:cs="Times New Roman"/>
                <w:color w:val="333333"/>
              </w:rPr>
            </w:pPr>
            <w:r w:rsidRPr="0032700F">
              <w:rPr>
                <w:rFonts w:ascii="Times New Roman" w:eastAsia="Times New Roman" w:hAnsi="Times New Roman" w:cs="Times New Roman"/>
                <w:color w:val="333333"/>
              </w:rPr>
              <w:t>Health and Wellbeing</w:t>
            </w:r>
          </w:p>
        </w:tc>
        <w:tc>
          <w:tcPr>
            <w:tcW w:w="813"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10</w:t>
            </w:r>
          </w:p>
        </w:tc>
        <w:tc>
          <w:tcPr>
            <w:tcW w:w="1047" w:type="dxa"/>
            <w:tcBorders>
              <w:top w:val="nil"/>
              <w:left w:val="nil"/>
              <w:bottom w:val="single" w:sz="4" w:space="0" w:color="auto"/>
              <w:right w:val="single" w:sz="4" w:space="0" w:color="auto"/>
            </w:tcBorders>
            <w:shd w:val="clear" w:color="auto" w:fill="auto"/>
            <w:noWrap/>
            <w:vAlign w:val="bottom"/>
            <w:hideMark/>
          </w:tcPr>
          <w:p w:rsidR="00C77A36" w:rsidRPr="0032700F" w:rsidRDefault="00C77A36" w:rsidP="00C77A36">
            <w:pPr>
              <w:jc w:val="right"/>
              <w:rPr>
                <w:rFonts w:ascii="Times New Roman" w:eastAsia="Times New Roman" w:hAnsi="Times New Roman" w:cs="Times New Roman"/>
                <w:color w:val="000000"/>
              </w:rPr>
            </w:pPr>
            <w:r w:rsidRPr="0032700F">
              <w:rPr>
                <w:rFonts w:ascii="Times New Roman" w:eastAsia="Times New Roman" w:hAnsi="Times New Roman" w:cs="Times New Roman"/>
                <w:color w:val="000000"/>
              </w:rPr>
              <w:t>5%</w:t>
            </w:r>
          </w:p>
        </w:tc>
      </w:tr>
    </w:tbl>
    <w:p w:rsidR="0059776C" w:rsidRPr="0032700F" w:rsidRDefault="0059776C" w:rsidP="00111421">
      <w:pPr>
        <w:spacing w:line="480" w:lineRule="auto"/>
        <w:rPr>
          <w:rFonts w:ascii="Times New Roman" w:hAnsi="Times New Roman" w:cs="Times New Roman"/>
        </w:rPr>
      </w:pPr>
    </w:p>
    <w:p w:rsidR="000255BD" w:rsidRPr="0032700F" w:rsidRDefault="000255BD" w:rsidP="000255BD">
      <w:pPr>
        <w:spacing w:line="480" w:lineRule="auto"/>
        <w:jc w:val="center"/>
        <w:rPr>
          <w:rFonts w:ascii="Times New Roman" w:hAnsi="Times New Roman" w:cs="Times New Roman"/>
          <w:b/>
        </w:rPr>
      </w:pPr>
      <w:r w:rsidRPr="0032700F">
        <w:rPr>
          <w:rFonts w:ascii="Times New Roman" w:hAnsi="Times New Roman" w:cs="Times New Roman"/>
          <w:b/>
        </w:rPr>
        <w:t>Conclusion</w:t>
      </w:r>
      <w:r w:rsidR="00327829" w:rsidRPr="0032700F">
        <w:rPr>
          <w:rFonts w:ascii="Times New Roman" w:hAnsi="Times New Roman" w:cs="Times New Roman"/>
          <w:b/>
        </w:rPr>
        <w:t>s</w:t>
      </w:r>
    </w:p>
    <w:p w:rsidR="000255BD" w:rsidRPr="0032700F" w:rsidRDefault="004E4987" w:rsidP="000255BD">
      <w:pPr>
        <w:spacing w:line="480" w:lineRule="auto"/>
        <w:rPr>
          <w:rFonts w:ascii="Times New Roman" w:hAnsi="Times New Roman" w:cs="Times New Roman"/>
        </w:rPr>
      </w:pPr>
      <w:r w:rsidRPr="0032700F">
        <w:rPr>
          <w:rFonts w:ascii="Times New Roman" w:hAnsi="Times New Roman" w:cs="Times New Roman"/>
        </w:rPr>
        <w:tab/>
        <w:t xml:space="preserve">The data presented in this study points directly to question of whether or not collegiate recreation is effectively preparing its graduate assistants in accordance with the industry defined core competencies. Simply from a numbers standpoint, it is clear that some specific skills are </w:t>
      </w:r>
      <w:r w:rsidRPr="0032700F">
        <w:rPr>
          <w:rFonts w:ascii="Times New Roman" w:hAnsi="Times New Roman" w:cs="Times New Roman"/>
        </w:rPr>
        <w:lastRenderedPageBreak/>
        <w:t xml:space="preserve">developed in a rather uniform fashion across the industry.  Most notably, graduate assistants in the field have the opportunity to practice student staff supervision </w:t>
      </w:r>
      <w:r w:rsidR="000E1382" w:rsidRPr="0032700F">
        <w:rPr>
          <w:rFonts w:ascii="Times New Roman" w:hAnsi="Times New Roman" w:cs="Times New Roman"/>
        </w:rPr>
        <w:t xml:space="preserve">regardless of their specific community of practice or the type of institution they are at.  In addition, it seems that many of our graduate assistants are invited to gain experience in facility operations through night and weekend supervision requirements. Similarly,  about half of our graduate assistants can hone their program development skills through their position in the department. It is concerning however that only seven  of the 71 competency sub-categories were represented in more than 50 percent of the position postings.  Of even greater concern is that 37 of the 71 sub-categories were represented by 20 or less (roughly 10 percent) of the position postings.  This statistic strongly supports that there are significant gaps in the development opportunities that graduate assistants have as related to the established core competencies. </w:t>
      </w:r>
    </w:p>
    <w:p w:rsidR="000E1382" w:rsidRPr="0032700F" w:rsidRDefault="000E1382" w:rsidP="000255BD">
      <w:pPr>
        <w:spacing w:line="480" w:lineRule="auto"/>
        <w:rPr>
          <w:rFonts w:ascii="Times New Roman" w:hAnsi="Times New Roman" w:cs="Times New Roman"/>
        </w:rPr>
      </w:pPr>
      <w:r w:rsidRPr="0032700F">
        <w:rPr>
          <w:rFonts w:ascii="Times New Roman" w:hAnsi="Times New Roman" w:cs="Times New Roman"/>
        </w:rPr>
        <w:tab/>
      </w:r>
      <w:r w:rsidR="00EA73DD" w:rsidRPr="0032700F">
        <w:rPr>
          <w:rFonts w:ascii="Times New Roman" w:hAnsi="Times New Roman" w:cs="Times New Roman"/>
        </w:rPr>
        <w:t xml:space="preserve">As it was not the primary focus of this study, the results of the individual communities of practice were not mentioned in the data presented.  However, a quick review of the appendix will reveal some competency areas that are highly evident in positions in some of the communities of practice and not in others.  For example, positions in fitness are 71 percent likely to provide program development experience where this is true of only 20 percent of the facilities positions.  Conversely 94 percent of facilities positions offer experience in facility operations and management where only 21 percent of competitive sports positions will offer development opportunities in this areas. A close examination of your specific community of practice and its involvement in all of the competency areas and sub-categories will paint a more relevant point of reference for the work that you are directly involved in. </w:t>
      </w:r>
    </w:p>
    <w:p w:rsidR="000E1382" w:rsidRPr="0032700F" w:rsidRDefault="000E1382" w:rsidP="000255BD">
      <w:pPr>
        <w:spacing w:line="480" w:lineRule="auto"/>
        <w:rPr>
          <w:rFonts w:ascii="Times New Roman" w:hAnsi="Times New Roman" w:cs="Times New Roman"/>
        </w:rPr>
      </w:pPr>
      <w:r w:rsidRPr="0032700F">
        <w:rPr>
          <w:rFonts w:ascii="Times New Roman" w:hAnsi="Times New Roman" w:cs="Times New Roman"/>
        </w:rPr>
        <w:tab/>
      </w:r>
      <w:r w:rsidR="00EA73DD" w:rsidRPr="0032700F">
        <w:rPr>
          <w:rFonts w:ascii="Times New Roman" w:hAnsi="Times New Roman" w:cs="Times New Roman"/>
        </w:rPr>
        <w:t xml:space="preserve">Reasonable minds may point to a number of reasons for various competency areas not being represented in the graduate assistant position postings.  </w:t>
      </w:r>
      <w:r w:rsidR="009C1D51" w:rsidRPr="0032700F">
        <w:rPr>
          <w:rFonts w:ascii="Times New Roman" w:hAnsi="Times New Roman" w:cs="Times New Roman"/>
        </w:rPr>
        <w:t xml:space="preserve">Some of the specific competencies </w:t>
      </w:r>
      <w:r w:rsidR="009C1D51" w:rsidRPr="0032700F">
        <w:rPr>
          <w:rFonts w:ascii="Times New Roman" w:hAnsi="Times New Roman" w:cs="Times New Roman"/>
        </w:rPr>
        <w:lastRenderedPageBreak/>
        <w:t xml:space="preserve">and sub-categories certainly lend themselves to be more likely experiences for higher level administrators. Legal processes for example may be better reserved for the work of our more experienced leaders.  In addition one might argue that </w:t>
      </w:r>
      <w:r w:rsidR="00066D2C" w:rsidRPr="0032700F">
        <w:rPr>
          <w:rFonts w:ascii="Times New Roman" w:hAnsi="Times New Roman" w:cs="Times New Roman"/>
        </w:rPr>
        <w:t xml:space="preserve">things such as knowledge of the CAS Standards or student development theory are better addressed in the </w:t>
      </w:r>
      <w:r w:rsidR="008D4279" w:rsidRPr="0032700F">
        <w:rPr>
          <w:rFonts w:ascii="Times New Roman" w:hAnsi="Times New Roman" w:cs="Times New Roman"/>
        </w:rPr>
        <w:t xml:space="preserve">classroom through their graduate degree.  Lastly, for the purpose of this study it was assumed that the position postings were an accurate method of determining what experiences would be had by the individuals in the respective assistantship.  It could be argued that the position postings cannot reasonably include all of the competency areas for which development opportunities will exist for the graduate assistant. </w:t>
      </w:r>
    </w:p>
    <w:p w:rsidR="00327829" w:rsidRPr="0032700F" w:rsidRDefault="008D4279" w:rsidP="000255BD">
      <w:pPr>
        <w:spacing w:line="480" w:lineRule="auto"/>
        <w:rPr>
          <w:rFonts w:ascii="Times New Roman" w:hAnsi="Times New Roman" w:cs="Times New Roman"/>
        </w:rPr>
      </w:pPr>
      <w:r w:rsidRPr="0032700F">
        <w:rPr>
          <w:rFonts w:ascii="Times New Roman" w:hAnsi="Times New Roman" w:cs="Times New Roman"/>
        </w:rPr>
        <w:tab/>
        <w:t xml:space="preserve"> To each of these points, encouragement is offered.  If a graduate assistantship is truly meant to be a co-curricular gateway to the professional world of collegiate recreation, it is in our interest to challenge ourselves and our graduate assistants to advance in as many of these competencies and sub-categories as is reasonable.  Be careful to write intentional and thorough position descriptions for these assistantships.  The position postings are the first impression that our interested undergraduate students, curious higher education colleagues and peers in the field have of the work and learning experiences that we are designing.  Imagine an ambitious</w:t>
      </w:r>
      <w:r w:rsidR="00327829" w:rsidRPr="0032700F">
        <w:rPr>
          <w:rFonts w:ascii="Times New Roman" w:hAnsi="Times New Roman" w:cs="Times New Roman"/>
        </w:rPr>
        <w:t xml:space="preserve"> and industry aware</w:t>
      </w:r>
      <w:r w:rsidRPr="0032700F">
        <w:rPr>
          <w:rFonts w:ascii="Times New Roman" w:hAnsi="Times New Roman" w:cs="Times New Roman"/>
        </w:rPr>
        <w:t xml:space="preserve"> undergraduate student pulling up your position description on bluefishjobs.com and realizing that the opportunity </w:t>
      </w:r>
      <w:r w:rsidR="00327829" w:rsidRPr="0032700F">
        <w:rPr>
          <w:rFonts w:ascii="Times New Roman" w:hAnsi="Times New Roman" w:cs="Times New Roman"/>
        </w:rPr>
        <w:t>will exist at y</w:t>
      </w:r>
      <w:r w:rsidRPr="0032700F">
        <w:rPr>
          <w:rFonts w:ascii="Times New Roman" w:hAnsi="Times New Roman" w:cs="Times New Roman"/>
        </w:rPr>
        <w:t xml:space="preserve">our institution to be challenged significantly in all eight competency areas! </w:t>
      </w:r>
      <w:r w:rsidR="00327829" w:rsidRPr="0032700F">
        <w:rPr>
          <w:rFonts w:ascii="Times New Roman" w:hAnsi="Times New Roman" w:cs="Times New Roman"/>
        </w:rPr>
        <w:t xml:space="preserve">Imagine the impact on the perceived professionalism of our field if colleagues in higher education start looking to bluefishjobs.com to gain insight into best practices in designing learning and working experiences for graduate assistants.  This is a key step in establishing confidence that the NIRSA core competencies are truly representative of the professionals in our field. </w:t>
      </w:r>
    </w:p>
    <w:p w:rsidR="00327829" w:rsidRPr="0032700F" w:rsidRDefault="00327829" w:rsidP="000255BD">
      <w:pPr>
        <w:spacing w:line="480" w:lineRule="auto"/>
        <w:rPr>
          <w:rFonts w:ascii="Times New Roman" w:hAnsi="Times New Roman" w:cs="Times New Roman"/>
        </w:rPr>
      </w:pPr>
      <w:r w:rsidRPr="0032700F">
        <w:rPr>
          <w:rFonts w:ascii="Times New Roman" w:hAnsi="Times New Roman" w:cs="Times New Roman"/>
        </w:rPr>
        <w:lastRenderedPageBreak/>
        <w:tab/>
        <w:t xml:space="preserve">Of course, the other half of a co-curricular graduate assistantship is the academic degree that is being earned.  While few collegiate recreation professionals are in a place to impact the program offerings and the associated curricula that are available at your institution, the opportunity still exists to mentor or guide a graduate assistant towards holistic competency development.  How often is the phrase “It doesn’t matter what degree you get, it is the assistantship that is important” used by professionals in our field when advising students on the selection of their </w:t>
      </w:r>
      <w:r w:rsidR="00A11609" w:rsidRPr="0032700F">
        <w:rPr>
          <w:rFonts w:ascii="Times New Roman" w:hAnsi="Times New Roman" w:cs="Times New Roman"/>
        </w:rPr>
        <w:t xml:space="preserve">graduate degree </w:t>
      </w:r>
      <w:r w:rsidRPr="0032700F">
        <w:rPr>
          <w:rFonts w:ascii="Times New Roman" w:hAnsi="Times New Roman" w:cs="Times New Roman"/>
        </w:rPr>
        <w:t>program?</w:t>
      </w:r>
      <w:r w:rsidR="00A11609" w:rsidRPr="0032700F">
        <w:rPr>
          <w:rFonts w:ascii="Times New Roman" w:hAnsi="Times New Roman" w:cs="Times New Roman"/>
        </w:rPr>
        <w:t xml:space="preserve">  What this study tells us is that not only does the degree program matter, it is vital to the development of individuals and our profession in general.  If it is an expectation that professionals in the field have competency in the knowledge and application of student development theory and that expertise does not exist among the professional staff in your department, where will that student have the opportunity to develop in that area? How often are we sending an undergraduate student that has just earned a degree in sports administration to another institution to get yet another degree in sports administration?  By intentionally mapping both the competencies developed in the work experience of the assistantship with the academic experience in the classroom, potential gaps and redundancies can be identified. </w:t>
      </w:r>
      <w:r w:rsidRPr="0032700F">
        <w:rPr>
          <w:rFonts w:ascii="Times New Roman" w:hAnsi="Times New Roman" w:cs="Times New Roman"/>
        </w:rPr>
        <w:t xml:space="preserve"> </w:t>
      </w:r>
      <w:r w:rsidR="00A11609" w:rsidRPr="0032700F">
        <w:rPr>
          <w:rFonts w:ascii="Times New Roman" w:hAnsi="Times New Roman" w:cs="Times New Roman"/>
        </w:rPr>
        <w:t xml:space="preserve">Once identified, these gaps can be addressed through intentionally sought out internships that will offer specific development opportunities.  Redundancies can be removed by altering work responsibilities or elective courses selected when applicable. </w:t>
      </w:r>
    </w:p>
    <w:p w:rsidR="00A11609" w:rsidRPr="0032700F" w:rsidRDefault="00A11609" w:rsidP="000255BD">
      <w:pPr>
        <w:spacing w:line="480" w:lineRule="auto"/>
        <w:rPr>
          <w:rFonts w:ascii="Times New Roman" w:hAnsi="Times New Roman" w:cs="Times New Roman"/>
        </w:rPr>
      </w:pPr>
      <w:r w:rsidRPr="0032700F">
        <w:rPr>
          <w:rFonts w:ascii="Times New Roman" w:hAnsi="Times New Roman" w:cs="Times New Roman"/>
        </w:rPr>
        <w:t xml:space="preserve"> </w:t>
      </w:r>
      <w:r w:rsidRPr="0032700F">
        <w:rPr>
          <w:rFonts w:ascii="Times New Roman" w:hAnsi="Times New Roman" w:cs="Times New Roman"/>
        </w:rPr>
        <w:tab/>
        <w:t>A great first step in making an impact in the competency development of an assistantship is to map the various components of the position description to the specific comp</w:t>
      </w:r>
      <w:r w:rsidR="00E34C63" w:rsidRPr="0032700F">
        <w:rPr>
          <w:rFonts w:ascii="Times New Roman" w:hAnsi="Times New Roman" w:cs="Times New Roman"/>
        </w:rPr>
        <w:t xml:space="preserve">etencies that will be developed through that experience.  It is likely that some quick changes will make a measurable impact.  Reach out to various faculty of the relevant graduate programs at your institution. By learning more about the curriculum you will be better able to guide a graduate </w:t>
      </w:r>
      <w:r w:rsidR="00E34C63" w:rsidRPr="0032700F">
        <w:rPr>
          <w:rFonts w:ascii="Times New Roman" w:hAnsi="Times New Roman" w:cs="Times New Roman"/>
        </w:rPr>
        <w:lastRenderedPageBreak/>
        <w:t xml:space="preserve">assistant towards intentionally developmental electives and internships.  Troll bluefishjobs.com for insight from colleagues. There is likely someone at your institution in Student Affairs that has some expertise in this area as well.  NASPA and ACPA have been at the competency development game for over 25 years. It is an exciting time of change in collegiate recreation and for the first time the NIRSA core competencies paint a clear image of where we are headed as a field.  </w:t>
      </w:r>
      <w:r w:rsidR="0032700F" w:rsidRPr="0032700F">
        <w:rPr>
          <w:rFonts w:ascii="Times New Roman" w:hAnsi="Times New Roman" w:cs="Times New Roman"/>
        </w:rPr>
        <w:t xml:space="preserve">Seize this </w:t>
      </w:r>
      <w:r w:rsidR="00E34C63" w:rsidRPr="0032700F">
        <w:rPr>
          <w:rFonts w:ascii="Times New Roman" w:hAnsi="Times New Roman" w:cs="Times New Roman"/>
        </w:rPr>
        <w:t xml:space="preserve"> opportunity challenge graduate assistants to their fullest potential as a collegiate recreation professional. </w:t>
      </w:r>
    </w:p>
    <w:p w:rsidR="0032700F" w:rsidRDefault="0032700F">
      <w:pPr>
        <w:rPr>
          <w:rFonts w:ascii="Times New Roman" w:hAnsi="Times New Roman" w:cs="Times New Roman"/>
          <w:sz w:val="20"/>
          <w:szCs w:val="20"/>
        </w:rPr>
      </w:pPr>
      <w:r>
        <w:rPr>
          <w:rFonts w:ascii="Times New Roman" w:hAnsi="Times New Roman" w:cs="Times New Roman"/>
          <w:sz w:val="20"/>
          <w:szCs w:val="20"/>
        </w:rPr>
        <w:br w:type="page"/>
      </w:r>
    </w:p>
    <w:p w:rsidR="00C77A36" w:rsidRPr="0032700F" w:rsidRDefault="0032700F" w:rsidP="009100D7">
      <w:pPr>
        <w:spacing w:line="480" w:lineRule="auto"/>
        <w:jc w:val="center"/>
        <w:rPr>
          <w:rFonts w:ascii="Times New Roman" w:hAnsi="Times New Roman" w:cs="Times New Roman"/>
          <w:b/>
          <w:sz w:val="20"/>
          <w:szCs w:val="20"/>
        </w:rPr>
      </w:pPr>
      <w:r w:rsidRPr="0032700F">
        <w:rPr>
          <w:rFonts w:ascii="Times New Roman" w:hAnsi="Times New Roman" w:cs="Times New Roman"/>
          <w:b/>
          <w:sz w:val="20"/>
          <w:szCs w:val="20"/>
        </w:rPr>
        <w:lastRenderedPageBreak/>
        <w:t>References</w:t>
      </w:r>
    </w:p>
    <w:p w:rsidR="00C77A36" w:rsidRPr="009100D7" w:rsidRDefault="00C77A36" w:rsidP="009100D7">
      <w:pPr>
        <w:spacing w:line="480" w:lineRule="auto"/>
        <w:rPr>
          <w:rFonts w:ascii="Times New Roman" w:hAnsi="Times New Roman" w:cs="Times New Roman"/>
        </w:rPr>
      </w:pPr>
    </w:p>
    <w:p w:rsidR="009100D7" w:rsidRPr="009100D7" w:rsidRDefault="009100D7" w:rsidP="009100D7">
      <w:pPr>
        <w:spacing w:line="480" w:lineRule="auto"/>
        <w:rPr>
          <w:rFonts w:ascii="Times New Roman" w:eastAsia="Times New Roman" w:hAnsi="Times New Roman" w:cs="Times New Roman"/>
        </w:rPr>
      </w:pPr>
      <w:r w:rsidRPr="009100D7">
        <w:rPr>
          <w:rFonts w:ascii="Times New Roman" w:eastAsia="Times New Roman" w:hAnsi="Times New Roman" w:cs="Times New Roman"/>
        </w:rPr>
        <w:t>Bloland, P. B., &amp; Stamatakos, L. C. (1989-90). Student affairs: Profession or</w:t>
      </w:r>
    </w:p>
    <w:p w:rsidR="009100D7" w:rsidRPr="009100D7" w:rsidRDefault="009100D7" w:rsidP="009100D7">
      <w:pPr>
        <w:spacing w:line="480" w:lineRule="auto"/>
        <w:ind w:left="810"/>
        <w:rPr>
          <w:rFonts w:ascii="Times New Roman" w:eastAsia="Times New Roman" w:hAnsi="Times New Roman" w:cs="Times New Roman"/>
        </w:rPr>
      </w:pPr>
      <w:r w:rsidRPr="009100D7">
        <w:rPr>
          <w:rFonts w:ascii="Times New Roman" w:eastAsia="Times New Roman" w:hAnsi="Times New Roman" w:cs="Times New Roman"/>
        </w:rPr>
        <w:t>professionalism? California Association for Counseling and Development Journal, 10,</w:t>
      </w:r>
    </w:p>
    <w:p w:rsidR="009100D7" w:rsidRPr="001F376C" w:rsidRDefault="009100D7" w:rsidP="009100D7">
      <w:pPr>
        <w:spacing w:line="480" w:lineRule="auto"/>
        <w:ind w:left="810"/>
        <w:rPr>
          <w:rFonts w:ascii="Times New Roman" w:eastAsia="Times New Roman" w:hAnsi="Times New Roman" w:cs="Times New Roman"/>
        </w:rPr>
      </w:pPr>
      <w:r w:rsidRPr="009100D7">
        <w:rPr>
          <w:rFonts w:ascii="Times New Roman" w:eastAsia="Times New Roman" w:hAnsi="Times New Roman" w:cs="Times New Roman"/>
        </w:rPr>
        <w:t>29-35.</w:t>
      </w:r>
    </w:p>
    <w:p w:rsidR="00C77A36" w:rsidRPr="009100D7" w:rsidRDefault="00C77A36" w:rsidP="009100D7">
      <w:pPr>
        <w:spacing w:line="480" w:lineRule="auto"/>
        <w:rPr>
          <w:rFonts w:ascii="Times New Roman" w:hAnsi="Times New Roman" w:cs="Times New Roman"/>
        </w:rPr>
      </w:pPr>
    </w:p>
    <w:p w:rsidR="001F376C" w:rsidRDefault="001F376C" w:rsidP="009100D7">
      <w:pPr>
        <w:spacing w:line="480" w:lineRule="auto"/>
        <w:ind w:left="810" w:hanging="810"/>
        <w:rPr>
          <w:rFonts w:ascii="Times New Roman" w:eastAsia="Times New Roman" w:hAnsi="Times New Roman" w:cs="Times New Roman"/>
        </w:rPr>
      </w:pPr>
      <w:r w:rsidRPr="001F376C">
        <w:rPr>
          <w:rFonts w:ascii="Times New Roman" w:eastAsia="Times New Roman" w:hAnsi="Times New Roman" w:cs="Times New Roman"/>
        </w:rPr>
        <w:t xml:space="preserve">Core Competencies. (2015, February 3). Retrieved </w:t>
      </w:r>
      <w:r w:rsidRPr="009100D7">
        <w:rPr>
          <w:rFonts w:ascii="Times New Roman" w:eastAsia="Times New Roman" w:hAnsi="Times New Roman" w:cs="Times New Roman"/>
        </w:rPr>
        <w:t>July 17, 2015</w:t>
      </w:r>
      <w:r w:rsidRPr="001F376C">
        <w:rPr>
          <w:rFonts w:ascii="Times New Roman" w:eastAsia="Times New Roman" w:hAnsi="Times New Roman" w:cs="Times New Roman"/>
        </w:rPr>
        <w:t xml:space="preserve">, from </w:t>
      </w:r>
      <w:r w:rsidR="009100D7">
        <w:rPr>
          <w:rFonts w:ascii="Times New Roman" w:eastAsia="Times New Roman" w:hAnsi="Times New Roman" w:cs="Times New Roman"/>
        </w:rPr>
        <w:t xml:space="preserve">     </w:t>
      </w:r>
      <w:r w:rsidRPr="001F376C">
        <w:rPr>
          <w:rFonts w:ascii="Times New Roman" w:eastAsia="Times New Roman" w:hAnsi="Times New Roman" w:cs="Times New Roman"/>
        </w:rPr>
        <w:t xml:space="preserve">http://nirsa.net/nirsa/registry/core-competencies/ </w:t>
      </w:r>
    </w:p>
    <w:p w:rsidR="009100D7" w:rsidRDefault="009100D7" w:rsidP="009100D7">
      <w:pPr>
        <w:spacing w:line="480" w:lineRule="auto"/>
        <w:rPr>
          <w:rFonts w:ascii="Times New Roman" w:eastAsia="Times New Roman" w:hAnsi="Times New Roman" w:cs="Times New Roman"/>
        </w:rPr>
      </w:pPr>
      <w:r w:rsidRPr="001F376C">
        <w:rPr>
          <w:rFonts w:ascii="Times New Roman" w:eastAsia="Times New Roman" w:hAnsi="Times New Roman" w:cs="Times New Roman"/>
        </w:rPr>
        <w:t>History. (2015</w:t>
      </w:r>
      <w:r w:rsidRPr="009100D7">
        <w:rPr>
          <w:rFonts w:ascii="Times New Roman" w:eastAsia="Times New Roman" w:hAnsi="Times New Roman" w:cs="Times New Roman"/>
        </w:rPr>
        <w:t>, February 28). Retrieved July 17</w:t>
      </w:r>
      <w:r w:rsidRPr="001F376C">
        <w:rPr>
          <w:rFonts w:ascii="Times New Roman" w:eastAsia="Times New Roman" w:hAnsi="Times New Roman" w:cs="Times New Roman"/>
        </w:rPr>
        <w:t xml:space="preserve">, 2015, from </w:t>
      </w:r>
      <w:hyperlink r:id="rId9" w:history="1">
        <w:r w:rsidRPr="00952F34">
          <w:rPr>
            <w:rStyle w:val="Hyperlink"/>
            <w:rFonts w:ascii="Times New Roman" w:eastAsia="Times New Roman" w:hAnsi="Times New Roman" w:cs="Times New Roman"/>
          </w:rPr>
          <w:t>http://nirsa.net/nirsa/about/history/</w:t>
        </w:r>
      </w:hyperlink>
      <w:r w:rsidRPr="001F376C">
        <w:rPr>
          <w:rFonts w:ascii="Times New Roman" w:eastAsia="Times New Roman" w:hAnsi="Times New Roman" w:cs="Times New Roman"/>
        </w:rPr>
        <w:t xml:space="preserve"> </w:t>
      </w:r>
    </w:p>
    <w:p w:rsidR="009100D7" w:rsidRPr="009100D7" w:rsidRDefault="009100D7" w:rsidP="00730F1A">
      <w:pPr>
        <w:spacing w:line="480" w:lineRule="auto"/>
        <w:ind w:left="810" w:hanging="810"/>
        <w:rPr>
          <w:rFonts w:ascii="Times New Roman" w:eastAsia="Times New Roman" w:hAnsi="Times New Roman" w:cs="Times New Roman"/>
        </w:rPr>
      </w:pPr>
      <w:r>
        <w:rPr>
          <w:rFonts w:ascii="Times New Roman" w:eastAsia="Times New Roman" w:hAnsi="Times New Roman" w:cs="Times New Roman"/>
        </w:rPr>
        <w:t>Kracauer, S. (1952-1953). T</w:t>
      </w:r>
      <w:r w:rsidRPr="009100D7">
        <w:rPr>
          <w:rFonts w:ascii="Times New Roman" w:eastAsia="Times New Roman" w:hAnsi="Times New Roman" w:cs="Times New Roman"/>
        </w:rPr>
        <w:t>he Challenge of Qualitative Content Analysis</w:t>
      </w:r>
      <w:r w:rsidRPr="009100D7">
        <w:rPr>
          <w:rFonts w:ascii="Times New Roman" w:eastAsia="Times New Roman" w:hAnsi="Times New Roman" w:cs="Times New Roman"/>
          <w:i/>
        </w:rPr>
        <w:t xml:space="preserve">.  </w:t>
      </w:r>
      <w:r>
        <w:rPr>
          <w:rFonts w:ascii="Times New Roman" w:eastAsia="Times New Roman" w:hAnsi="Times New Roman" w:cs="Times New Roman"/>
          <w:i/>
        </w:rPr>
        <w:t>The Public Opinion Quarterly. (</w:t>
      </w:r>
      <w:r>
        <w:rPr>
          <w:rFonts w:ascii="Times New Roman" w:eastAsia="Times New Roman" w:hAnsi="Times New Roman" w:cs="Times New Roman"/>
        </w:rPr>
        <w:t>Vol. 16, No. 4</w:t>
      </w:r>
      <w:r w:rsidR="00730F1A">
        <w:rPr>
          <w:rFonts w:ascii="Times New Roman" w:eastAsia="Times New Roman" w:hAnsi="Times New Roman" w:cs="Times New Roman"/>
        </w:rPr>
        <w:t xml:space="preserve"> pp. 631-642</w:t>
      </w:r>
    </w:p>
    <w:p w:rsidR="009100D7" w:rsidRDefault="009100D7" w:rsidP="00730F1A">
      <w:pPr>
        <w:rPr>
          <w:rFonts w:ascii="Times New Roman" w:eastAsia="Times New Roman" w:hAnsi="Times New Roman" w:cs="Times New Roman"/>
        </w:rPr>
      </w:pPr>
    </w:p>
    <w:p w:rsidR="009100D7" w:rsidRPr="009100D7" w:rsidRDefault="009100D7" w:rsidP="009100D7">
      <w:pPr>
        <w:spacing w:line="480" w:lineRule="auto"/>
        <w:ind w:left="720" w:hanging="720"/>
        <w:rPr>
          <w:rFonts w:ascii="Times New Roman" w:eastAsia="Times New Roman" w:hAnsi="Times New Roman" w:cs="Times New Roman"/>
        </w:rPr>
      </w:pPr>
      <w:r w:rsidRPr="009100D7">
        <w:rPr>
          <w:rFonts w:ascii="Times New Roman" w:hAnsi="Times New Roman" w:cs="Times New Roman"/>
          <w:color w:val="000000"/>
          <w:shd w:val="clear" w:color="auto" w:fill="FFFFFF"/>
        </w:rPr>
        <w:t>Krippendorff, K. (1989). Content analysis. In E. Barnouw, G. Gerbner, W. Schramm, T. L. Worth, &amp; L. Gross (Eds.),</w:t>
      </w:r>
      <w:r w:rsidRPr="009100D7">
        <w:rPr>
          <w:rStyle w:val="apple-converted-space"/>
          <w:rFonts w:ascii="Times New Roman" w:hAnsi="Times New Roman" w:cs="Times New Roman"/>
          <w:color w:val="000000"/>
          <w:shd w:val="clear" w:color="auto" w:fill="FFFFFF"/>
        </w:rPr>
        <w:t> </w:t>
      </w:r>
      <w:r w:rsidRPr="009100D7">
        <w:rPr>
          <w:rStyle w:val="Emphasis"/>
          <w:rFonts w:ascii="Times New Roman" w:hAnsi="Times New Roman" w:cs="Times New Roman"/>
          <w:color w:val="000000"/>
          <w:bdr w:val="none" w:sz="0" w:space="0" w:color="auto" w:frame="1"/>
          <w:shd w:val="clear" w:color="auto" w:fill="FFFFFF"/>
        </w:rPr>
        <w:t>International encyclopedia of communication</w:t>
      </w:r>
      <w:r w:rsidRPr="009100D7">
        <w:rPr>
          <w:rStyle w:val="apple-converted-space"/>
          <w:rFonts w:ascii="Times New Roman" w:hAnsi="Times New Roman" w:cs="Times New Roman"/>
          <w:color w:val="000000"/>
          <w:shd w:val="clear" w:color="auto" w:fill="FFFFFF"/>
        </w:rPr>
        <w:t> </w:t>
      </w:r>
      <w:r w:rsidRPr="009100D7">
        <w:rPr>
          <w:rFonts w:ascii="Times New Roman" w:hAnsi="Times New Roman" w:cs="Times New Roman"/>
          <w:color w:val="000000"/>
          <w:shd w:val="clear" w:color="auto" w:fill="FFFFFF"/>
        </w:rPr>
        <w:t>(Vol. 1, pp. 403-407). New York, NY: Oxford University Press. Retrieved from http://repository.upenn.edu/asc_papers/226</w:t>
      </w:r>
    </w:p>
    <w:p w:rsidR="009100D7" w:rsidRPr="001F376C" w:rsidRDefault="009100D7" w:rsidP="009100D7">
      <w:pPr>
        <w:spacing w:line="480" w:lineRule="auto"/>
        <w:rPr>
          <w:rFonts w:ascii="Times New Roman" w:eastAsia="Times New Roman" w:hAnsi="Times New Roman" w:cs="Times New Roman"/>
        </w:rPr>
      </w:pPr>
    </w:p>
    <w:p w:rsidR="009100D7" w:rsidRPr="009100D7" w:rsidRDefault="009100D7" w:rsidP="009100D7">
      <w:pPr>
        <w:spacing w:line="480" w:lineRule="auto"/>
        <w:ind w:left="810" w:hanging="810"/>
        <w:rPr>
          <w:rFonts w:ascii="Times New Roman" w:hAnsi="Times New Roman" w:cs="Times New Roman"/>
        </w:rPr>
      </w:pPr>
      <w:r w:rsidRPr="009100D7">
        <w:rPr>
          <w:rFonts w:ascii="Times New Roman" w:hAnsi="Times New Roman" w:cs="Times New Roman"/>
        </w:rPr>
        <w:t>Stamatakos, L. C. (1981b). Student affairs progress toward professionalism: Recommendations for action: Part II. Journal of College Student Personnel, 22,197-207.</w:t>
      </w:r>
    </w:p>
    <w:p w:rsidR="001F376C" w:rsidRPr="009100D7" w:rsidRDefault="001F376C" w:rsidP="009100D7">
      <w:pPr>
        <w:spacing w:line="480" w:lineRule="auto"/>
        <w:rPr>
          <w:rFonts w:ascii="Times New Roman" w:eastAsia="Times New Roman" w:hAnsi="Times New Roman" w:cs="Times New Roman"/>
        </w:rPr>
      </w:pPr>
    </w:p>
    <w:p w:rsidR="001F376C" w:rsidRPr="009100D7" w:rsidRDefault="001F376C" w:rsidP="009100D7">
      <w:pPr>
        <w:spacing w:line="480" w:lineRule="auto"/>
        <w:rPr>
          <w:rFonts w:ascii="Times New Roman" w:hAnsi="Times New Roman" w:cs="Times New Roman"/>
        </w:rPr>
      </w:pPr>
    </w:p>
    <w:p w:rsidR="00C77A36" w:rsidRDefault="00C77A36" w:rsidP="00111421">
      <w:pPr>
        <w:spacing w:line="480" w:lineRule="auto"/>
        <w:rPr>
          <w:rFonts w:ascii="Times New Roman" w:hAnsi="Times New Roman" w:cs="Times New Roman"/>
          <w:sz w:val="20"/>
          <w:szCs w:val="20"/>
        </w:rPr>
      </w:pPr>
    </w:p>
    <w:p w:rsidR="00C77A36" w:rsidRDefault="00C77A36" w:rsidP="00C77A36">
      <w:pPr>
        <w:spacing w:line="480" w:lineRule="auto"/>
        <w:jc w:val="center"/>
        <w:rPr>
          <w:rFonts w:ascii="Times New Roman" w:hAnsi="Times New Roman" w:cs="Times New Roman"/>
          <w:b/>
          <w:sz w:val="20"/>
          <w:szCs w:val="20"/>
        </w:rPr>
      </w:pPr>
    </w:p>
    <w:p w:rsidR="00C77A36" w:rsidRDefault="00C77A36" w:rsidP="00C77A36">
      <w:pPr>
        <w:spacing w:line="480" w:lineRule="auto"/>
        <w:jc w:val="center"/>
        <w:rPr>
          <w:rFonts w:ascii="Times New Roman" w:hAnsi="Times New Roman" w:cs="Times New Roman"/>
          <w:b/>
          <w:sz w:val="20"/>
          <w:szCs w:val="20"/>
        </w:rPr>
      </w:pPr>
    </w:p>
    <w:p w:rsidR="00C77A36" w:rsidRDefault="00C77A36" w:rsidP="00C77A36">
      <w:pPr>
        <w:spacing w:line="480" w:lineRule="auto"/>
        <w:jc w:val="center"/>
        <w:rPr>
          <w:rFonts w:ascii="Times New Roman" w:hAnsi="Times New Roman" w:cs="Times New Roman"/>
          <w:b/>
          <w:sz w:val="20"/>
          <w:szCs w:val="20"/>
        </w:rPr>
      </w:pPr>
    </w:p>
    <w:p w:rsidR="00C77A36" w:rsidRDefault="00C77A36" w:rsidP="00C77A36">
      <w:pPr>
        <w:spacing w:line="480" w:lineRule="auto"/>
        <w:jc w:val="center"/>
        <w:rPr>
          <w:rFonts w:ascii="Times New Roman" w:hAnsi="Times New Roman" w:cs="Times New Roman"/>
          <w:b/>
          <w:sz w:val="20"/>
          <w:szCs w:val="20"/>
        </w:rPr>
      </w:pPr>
    </w:p>
    <w:p w:rsidR="00C77A36" w:rsidRDefault="00C77A36">
      <w:pPr>
        <w:rPr>
          <w:rFonts w:ascii="Times New Roman" w:hAnsi="Times New Roman" w:cs="Times New Roman"/>
          <w:b/>
          <w:sz w:val="20"/>
          <w:szCs w:val="20"/>
        </w:rPr>
      </w:pPr>
      <w:r>
        <w:rPr>
          <w:rFonts w:ascii="Times New Roman" w:hAnsi="Times New Roman" w:cs="Times New Roman"/>
          <w:b/>
          <w:sz w:val="20"/>
          <w:szCs w:val="20"/>
        </w:rPr>
        <w:br w:type="page"/>
      </w:r>
    </w:p>
    <w:p w:rsidR="00C77A36" w:rsidRPr="00C77A36" w:rsidRDefault="00C77A36" w:rsidP="00C77A36">
      <w:pPr>
        <w:spacing w:line="480" w:lineRule="auto"/>
        <w:jc w:val="center"/>
        <w:rPr>
          <w:rFonts w:ascii="Times New Roman" w:hAnsi="Times New Roman" w:cs="Times New Roman"/>
          <w:b/>
          <w:sz w:val="20"/>
          <w:szCs w:val="20"/>
        </w:rPr>
      </w:pPr>
    </w:p>
    <w:sectPr w:rsidR="00C77A36" w:rsidRPr="00C77A36" w:rsidSect="006F4C66">
      <w:headerReference w:type="even" r:id="rId10"/>
      <w:head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36" w:rsidRDefault="00C77A36">
      <w:r>
        <w:separator/>
      </w:r>
    </w:p>
  </w:endnote>
  <w:endnote w:type="continuationSeparator" w:id="0">
    <w:p w:rsidR="00C77A36" w:rsidRDefault="00C7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36" w:rsidRDefault="00C77A36">
      <w:r>
        <w:separator/>
      </w:r>
    </w:p>
  </w:footnote>
  <w:footnote w:type="continuationSeparator" w:id="0">
    <w:p w:rsidR="00C77A36" w:rsidRDefault="00C7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36" w:rsidRDefault="00C77A36" w:rsidP="005B3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A36" w:rsidRDefault="00C77A36" w:rsidP="005B39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36" w:rsidRDefault="00C77A36" w:rsidP="005B3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7EF">
      <w:rPr>
        <w:rStyle w:val="PageNumber"/>
        <w:noProof/>
      </w:rPr>
      <w:t>2</w:t>
    </w:r>
    <w:r>
      <w:rPr>
        <w:rStyle w:val="PageNumber"/>
      </w:rPr>
      <w:fldChar w:fldCharType="end"/>
    </w:r>
  </w:p>
  <w:p w:rsidR="00C77A36" w:rsidRDefault="00C77A36" w:rsidP="005B397A">
    <w:pPr>
      <w:pStyle w:val="Header"/>
      <w:ind w:right="360"/>
    </w:pPr>
    <w:r>
      <w:t>Running head: COLLEGIATE RECREATION GRADUATE ASSISTANT DESIGN</w:t>
    </w:r>
    <w:r>
      <w:ptab w:relativeTo="margin" w:alignment="right" w:leader="none"/>
    </w:r>
  </w:p>
  <w:p w:rsidR="00C77A36" w:rsidRDefault="00C77A36" w:rsidP="005B397A">
    <w:pPr>
      <w:pStyle w:val="Header"/>
      <w:tabs>
        <w:tab w:val="clear" w:pos="4320"/>
        <w:tab w:val="clear" w:pos="8640"/>
        <w:tab w:val="left" w:pos="69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6E1F"/>
    <w:multiLevelType w:val="hybridMultilevel"/>
    <w:tmpl w:val="E59A069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36D075B"/>
    <w:multiLevelType w:val="hybridMultilevel"/>
    <w:tmpl w:val="9B021032"/>
    <w:lvl w:ilvl="0" w:tplc="5804093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FFC7083"/>
    <w:multiLevelType w:val="hybridMultilevel"/>
    <w:tmpl w:val="64906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0011D"/>
    <w:multiLevelType w:val="hybridMultilevel"/>
    <w:tmpl w:val="E23EEA0E"/>
    <w:lvl w:ilvl="0" w:tplc="04090005">
      <w:start w:val="1"/>
      <w:numFmt w:val="bullet"/>
      <w:lvlText w:val=""/>
      <w:lvlJc w:val="left"/>
      <w:pPr>
        <w:ind w:left="1318" w:hanging="360"/>
      </w:pPr>
      <w:rPr>
        <w:rFonts w:ascii="Wingdings" w:hAnsi="Wingdings" w:hint="default"/>
      </w:rPr>
    </w:lvl>
    <w:lvl w:ilvl="1" w:tplc="04090003">
      <w:start w:val="1"/>
      <w:numFmt w:val="bullet"/>
      <w:lvlText w:val="o"/>
      <w:lvlJc w:val="left"/>
      <w:pPr>
        <w:ind w:left="2038" w:hanging="360"/>
      </w:pPr>
      <w:rPr>
        <w:rFonts w:ascii="Courier New" w:hAnsi="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4">
    <w:nsid w:val="4B511976"/>
    <w:multiLevelType w:val="hybridMultilevel"/>
    <w:tmpl w:val="BCDA75DC"/>
    <w:lvl w:ilvl="0" w:tplc="6750BD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EF"/>
    <w:rsid w:val="000228E0"/>
    <w:rsid w:val="000255BD"/>
    <w:rsid w:val="000305EF"/>
    <w:rsid w:val="0003345A"/>
    <w:rsid w:val="0003507F"/>
    <w:rsid w:val="00066D2C"/>
    <w:rsid w:val="00084F90"/>
    <w:rsid w:val="000A164F"/>
    <w:rsid w:val="000E1382"/>
    <w:rsid w:val="001018A5"/>
    <w:rsid w:val="0010535C"/>
    <w:rsid w:val="00111421"/>
    <w:rsid w:val="00150D71"/>
    <w:rsid w:val="00153A3F"/>
    <w:rsid w:val="00160D6A"/>
    <w:rsid w:val="0016735E"/>
    <w:rsid w:val="001C7DFE"/>
    <w:rsid w:val="001F376C"/>
    <w:rsid w:val="00221093"/>
    <w:rsid w:val="002354A9"/>
    <w:rsid w:val="00265223"/>
    <w:rsid w:val="002878E0"/>
    <w:rsid w:val="00294BEB"/>
    <w:rsid w:val="002B3824"/>
    <w:rsid w:val="002E04F4"/>
    <w:rsid w:val="002E7B98"/>
    <w:rsid w:val="002E7FF2"/>
    <w:rsid w:val="002F590F"/>
    <w:rsid w:val="0032700F"/>
    <w:rsid w:val="00327829"/>
    <w:rsid w:val="00327A82"/>
    <w:rsid w:val="00371BB9"/>
    <w:rsid w:val="00383235"/>
    <w:rsid w:val="003F0875"/>
    <w:rsid w:val="004075EC"/>
    <w:rsid w:val="0041688F"/>
    <w:rsid w:val="0048255A"/>
    <w:rsid w:val="004B09B6"/>
    <w:rsid w:val="004E4987"/>
    <w:rsid w:val="004E5F8D"/>
    <w:rsid w:val="00513844"/>
    <w:rsid w:val="0059776C"/>
    <w:rsid w:val="005B397A"/>
    <w:rsid w:val="005E5F0C"/>
    <w:rsid w:val="005F4CF4"/>
    <w:rsid w:val="006476E3"/>
    <w:rsid w:val="00683385"/>
    <w:rsid w:val="00695A3F"/>
    <w:rsid w:val="006C5A74"/>
    <w:rsid w:val="006F169D"/>
    <w:rsid w:val="006F4C66"/>
    <w:rsid w:val="007167D9"/>
    <w:rsid w:val="00723A39"/>
    <w:rsid w:val="00730F1A"/>
    <w:rsid w:val="007612D9"/>
    <w:rsid w:val="007A7EF2"/>
    <w:rsid w:val="007D4844"/>
    <w:rsid w:val="007F492A"/>
    <w:rsid w:val="008252DB"/>
    <w:rsid w:val="00825C97"/>
    <w:rsid w:val="0082640A"/>
    <w:rsid w:val="0082674A"/>
    <w:rsid w:val="00836153"/>
    <w:rsid w:val="008425EA"/>
    <w:rsid w:val="008A7671"/>
    <w:rsid w:val="008B3D17"/>
    <w:rsid w:val="008D4279"/>
    <w:rsid w:val="008E1265"/>
    <w:rsid w:val="009100D7"/>
    <w:rsid w:val="009109E8"/>
    <w:rsid w:val="00930DC8"/>
    <w:rsid w:val="009929AF"/>
    <w:rsid w:val="0099652B"/>
    <w:rsid w:val="009A26D9"/>
    <w:rsid w:val="009C1D51"/>
    <w:rsid w:val="009D4055"/>
    <w:rsid w:val="009F6F45"/>
    <w:rsid w:val="00A052DC"/>
    <w:rsid w:val="00A07282"/>
    <w:rsid w:val="00A11609"/>
    <w:rsid w:val="00A46319"/>
    <w:rsid w:val="00A652C0"/>
    <w:rsid w:val="00A958EE"/>
    <w:rsid w:val="00AB4B48"/>
    <w:rsid w:val="00AD382D"/>
    <w:rsid w:val="00B2249E"/>
    <w:rsid w:val="00B2627A"/>
    <w:rsid w:val="00B27C0C"/>
    <w:rsid w:val="00B3541F"/>
    <w:rsid w:val="00B50861"/>
    <w:rsid w:val="00B707CC"/>
    <w:rsid w:val="00B74054"/>
    <w:rsid w:val="00B75FAD"/>
    <w:rsid w:val="00BC37AF"/>
    <w:rsid w:val="00C00E9F"/>
    <w:rsid w:val="00C3319F"/>
    <w:rsid w:val="00C4573D"/>
    <w:rsid w:val="00C4732D"/>
    <w:rsid w:val="00C6478C"/>
    <w:rsid w:val="00C66995"/>
    <w:rsid w:val="00C77A36"/>
    <w:rsid w:val="00CD5277"/>
    <w:rsid w:val="00D67214"/>
    <w:rsid w:val="00D9092E"/>
    <w:rsid w:val="00DF2D0C"/>
    <w:rsid w:val="00E10C1A"/>
    <w:rsid w:val="00E218E6"/>
    <w:rsid w:val="00E34C63"/>
    <w:rsid w:val="00E37C06"/>
    <w:rsid w:val="00E57CA8"/>
    <w:rsid w:val="00E765A9"/>
    <w:rsid w:val="00E807EF"/>
    <w:rsid w:val="00EA73DD"/>
    <w:rsid w:val="00EA78B4"/>
    <w:rsid w:val="00ED24C9"/>
    <w:rsid w:val="00EF3232"/>
    <w:rsid w:val="00EF66FF"/>
    <w:rsid w:val="00F17394"/>
    <w:rsid w:val="00F325FE"/>
    <w:rsid w:val="00F36953"/>
    <w:rsid w:val="00F67CA1"/>
    <w:rsid w:val="00F74E20"/>
    <w:rsid w:val="00F920ED"/>
    <w:rsid w:val="00FD44AD"/>
    <w:rsid w:val="00FD56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05EF"/>
    <w:pPr>
      <w:spacing w:beforeLines="1" w:afterLines="1"/>
    </w:pPr>
    <w:rPr>
      <w:rFonts w:ascii="Times" w:hAnsi="Times" w:cs="Times New Roman"/>
      <w:sz w:val="20"/>
      <w:szCs w:val="20"/>
    </w:rPr>
  </w:style>
  <w:style w:type="paragraph" w:styleId="ListParagraph">
    <w:name w:val="List Paragraph"/>
    <w:basedOn w:val="Normal"/>
    <w:uiPriority w:val="34"/>
    <w:qFormat/>
    <w:rsid w:val="00E10C1A"/>
    <w:pPr>
      <w:ind w:left="720"/>
      <w:contextualSpacing/>
    </w:pPr>
  </w:style>
  <w:style w:type="paragraph" w:styleId="Header">
    <w:name w:val="header"/>
    <w:basedOn w:val="Normal"/>
    <w:link w:val="HeaderChar"/>
    <w:uiPriority w:val="99"/>
    <w:unhideWhenUsed/>
    <w:rsid w:val="008A7671"/>
    <w:pPr>
      <w:tabs>
        <w:tab w:val="center" w:pos="4320"/>
        <w:tab w:val="right" w:pos="8640"/>
      </w:tabs>
    </w:pPr>
  </w:style>
  <w:style w:type="character" w:customStyle="1" w:styleId="HeaderChar">
    <w:name w:val="Header Char"/>
    <w:basedOn w:val="DefaultParagraphFont"/>
    <w:link w:val="Header"/>
    <w:uiPriority w:val="99"/>
    <w:rsid w:val="008A7671"/>
  </w:style>
  <w:style w:type="paragraph" w:styleId="Footer">
    <w:name w:val="footer"/>
    <w:basedOn w:val="Normal"/>
    <w:link w:val="FooterChar"/>
    <w:uiPriority w:val="99"/>
    <w:unhideWhenUsed/>
    <w:rsid w:val="008A7671"/>
    <w:pPr>
      <w:tabs>
        <w:tab w:val="center" w:pos="4320"/>
        <w:tab w:val="right" w:pos="8640"/>
      </w:tabs>
    </w:pPr>
  </w:style>
  <w:style w:type="character" w:customStyle="1" w:styleId="FooterChar">
    <w:name w:val="Footer Char"/>
    <w:basedOn w:val="DefaultParagraphFont"/>
    <w:link w:val="Footer"/>
    <w:uiPriority w:val="99"/>
    <w:rsid w:val="008A7671"/>
  </w:style>
  <w:style w:type="paragraph" w:styleId="NoSpacing">
    <w:name w:val="No Spacing"/>
    <w:link w:val="NoSpacingChar"/>
    <w:qFormat/>
    <w:rsid w:val="005B397A"/>
    <w:rPr>
      <w:rFonts w:ascii="PMingLiU" w:eastAsiaTheme="minorEastAsia" w:hAnsi="PMingLiU"/>
      <w:sz w:val="22"/>
      <w:szCs w:val="22"/>
    </w:rPr>
  </w:style>
  <w:style w:type="character" w:customStyle="1" w:styleId="NoSpacingChar">
    <w:name w:val="No Spacing Char"/>
    <w:basedOn w:val="DefaultParagraphFont"/>
    <w:link w:val="NoSpacing"/>
    <w:rsid w:val="005B397A"/>
    <w:rPr>
      <w:rFonts w:ascii="PMingLiU" w:eastAsiaTheme="minorEastAsia" w:hAnsi="PMingLiU"/>
      <w:sz w:val="22"/>
      <w:szCs w:val="22"/>
    </w:rPr>
  </w:style>
  <w:style w:type="character" w:styleId="PageNumber">
    <w:name w:val="page number"/>
    <w:basedOn w:val="DefaultParagraphFont"/>
    <w:uiPriority w:val="99"/>
    <w:semiHidden/>
    <w:unhideWhenUsed/>
    <w:rsid w:val="005B397A"/>
  </w:style>
  <w:style w:type="character" w:styleId="Hyperlink">
    <w:name w:val="Hyperlink"/>
    <w:basedOn w:val="DefaultParagraphFont"/>
    <w:uiPriority w:val="99"/>
    <w:unhideWhenUsed/>
    <w:rsid w:val="00836153"/>
    <w:rPr>
      <w:color w:val="0000FF" w:themeColor="hyperlink"/>
      <w:u w:val="single"/>
    </w:rPr>
  </w:style>
  <w:style w:type="table" w:styleId="TableGrid">
    <w:name w:val="Table Grid"/>
    <w:basedOn w:val="TableNormal"/>
    <w:uiPriority w:val="59"/>
    <w:rsid w:val="00FD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64F"/>
    <w:rPr>
      <w:rFonts w:ascii="Tahoma" w:hAnsi="Tahoma" w:cs="Tahoma"/>
      <w:sz w:val="16"/>
      <w:szCs w:val="16"/>
    </w:rPr>
  </w:style>
  <w:style w:type="character" w:customStyle="1" w:styleId="BalloonTextChar">
    <w:name w:val="Balloon Text Char"/>
    <w:basedOn w:val="DefaultParagraphFont"/>
    <w:link w:val="BalloonText"/>
    <w:uiPriority w:val="99"/>
    <w:semiHidden/>
    <w:rsid w:val="000A164F"/>
    <w:rPr>
      <w:rFonts w:ascii="Tahoma" w:hAnsi="Tahoma" w:cs="Tahoma"/>
      <w:sz w:val="16"/>
      <w:szCs w:val="16"/>
    </w:rPr>
  </w:style>
  <w:style w:type="character" w:customStyle="1" w:styleId="apple-converted-space">
    <w:name w:val="apple-converted-space"/>
    <w:basedOn w:val="DefaultParagraphFont"/>
    <w:rsid w:val="009100D7"/>
  </w:style>
  <w:style w:type="character" w:styleId="Emphasis">
    <w:name w:val="Emphasis"/>
    <w:basedOn w:val="DefaultParagraphFont"/>
    <w:uiPriority w:val="20"/>
    <w:qFormat/>
    <w:rsid w:val="009100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05EF"/>
    <w:pPr>
      <w:spacing w:beforeLines="1" w:afterLines="1"/>
    </w:pPr>
    <w:rPr>
      <w:rFonts w:ascii="Times" w:hAnsi="Times" w:cs="Times New Roman"/>
      <w:sz w:val="20"/>
      <w:szCs w:val="20"/>
    </w:rPr>
  </w:style>
  <w:style w:type="paragraph" w:styleId="ListParagraph">
    <w:name w:val="List Paragraph"/>
    <w:basedOn w:val="Normal"/>
    <w:uiPriority w:val="34"/>
    <w:qFormat/>
    <w:rsid w:val="00E10C1A"/>
    <w:pPr>
      <w:ind w:left="720"/>
      <w:contextualSpacing/>
    </w:pPr>
  </w:style>
  <w:style w:type="paragraph" w:styleId="Header">
    <w:name w:val="header"/>
    <w:basedOn w:val="Normal"/>
    <w:link w:val="HeaderChar"/>
    <w:uiPriority w:val="99"/>
    <w:unhideWhenUsed/>
    <w:rsid w:val="008A7671"/>
    <w:pPr>
      <w:tabs>
        <w:tab w:val="center" w:pos="4320"/>
        <w:tab w:val="right" w:pos="8640"/>
      </w:tabs>
    </w:pPr>
  </w:style>
  <w:style w:type="character" w:customStyle="1" w:styleId="HeaderChar">
    <w:name w:val="Header Char"/>
    <w:basedOn w:val="DefaultParagraphFont"/>
    <w:link w:val="Header"/>
    <w:uiPriority w:val="99"/>
    <w:rsid w:val="008A7671"/>
  </w:style>
  <w:style w:type="paragraph" w:styleId="Footer">
    <w:name w:val="footer"/>
    <w:basedOn w:val="Normal"/>
    <w:link w:val="FooterChar"/>
    <w:uiPriority w:val="99"/>
    <w:unhideWhenUsed/>
    <w:rsid w:val="008A7671"/>
    <w:pPr>
      <w:tabs>
        <w:tab w:val="center" w:pos="4320"/>
        <w:tab w:val="right" w:pos="8640"/>
      </w:tabs>
    </w:pPr>
  </w:style>
  <w:style w:type="character" w:customStyle="1" w:styleId="FooterChar">
    <w:name w:val="Footer Char"/>
    <w:basedOn w:val="DefaultParagraphFont"/>
    <w:link w:val="Footer"/>
    <w:uiPriority w:val="99"/>
    <w:rsid w:val="008A7671"/>
  </w:style>
  <w:style w:type="paragraph" w:styleId="NoSpacing">
    <w:name w:val="No Spacing"/>
    <w:link w:val="NoSpacingChar"/>
    <w:qFormat/>
    <w:rsid w:val="005B397A"/>
    <w:rPr>
      <w:rFonts w:ascii="PMingLiU" w:eastAsiaTheme="minorEastAsia" w:hAnsi="PMingLiU"/>
      <w:sz w:val="22"/>
      <w:szCs w:val="22"/>
    </w:rPr>
  </w:style>
  <w:style w:type="character" w:customStyle="1" w:styleId="NoSpacingChar">
    <w:name w:val="No Spacing Char"/>
    <w:basedOn w:val="DefaultParagraphFont"/>
    <w:link w:val="NoSpacing"/>
    <w:rsid w:val="005B397A"/>
    <w:rPr>
      <w:rFonts w:ascii="PMingLiU" w:eastAsiaTheme="minorEastAsia" w:hAnsi="PMingLiU"/>
      <w:sz w:val="22"/>
      <w:szCs w:val="22"/>
    </w:rPr>
  </w:style>
  <w:style w:type="character" w:styleId="PageNumber">
    <w:name w:val="page number"/>
    <w:basedOn w:val="DefaultParagraphFont"/>
    <w:uiPriority w:val="99"/>
    <w:semiHidden/>
    <w:unhideWhenUsed/>
    <w:rsid w:val="005B397A"/>
  </w:style>
  <w:style w:type="character" w:styleId="Hyperlink">
    <w:name w:val="Hyperlink"/>
    <w:basedOn w:val="DefaultParagraphFont"/>
    <w:uiPriority w:val="99"/>
    <w:unhideWhenUsed/>
    <w:rsid w:val="00836153"/>
    <w:rPr>
      <w:color w:val="0000FF" w:themeColor="hyperlink"/>
      <w:u w:val="single"/>
    </w:rPr>
  </w:style>
  <w:style w:type="table" w:styleId="TableGrid">
    <w:name w:val="Table Grid"/>
    <w:basedOn w:val="TableNormal"/>
    <w:uiPriority w:val="59"/>
    <w:rsid w:val="00FD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64F"/>
    <w:rPr>
      <w:rFonts w:ascii="Tahoma" w:hAnsi="Tahoma" w:cs="Tahoma"/>
      <w:sz w:val="16"/>
      <w:szCs w:val="16"/>
    </w:rPr>
  </w:style>
  <w:style w:type="character" w:customStyle="1" w:styleId="BalloonTextChar">
    <w:name w:val="Balloon Text Char"/>
    <w:basedOn w:val="DefaultParagraphFont"/>
    <w:link w:val="BalloonText"/>
    <w:uiPriority w:val="99"/>
    <w:semiHidden/>
    <w:rsid w:val="000A164F"/>
    <w:rPr>
      <w:rFonts w:ascii="Tahoma" w:hAnsi="Tahoma" w:cs="Tahoma"/>
      <w:sz w:val="16"/>
      <w:szCs w:val="16"/>
    </w:rPr>
  </w:style>
  <w:style w:type="character" w:customStyle="1" w:styleId="apple-converted-space">
    <w:name w:val="apple-converted-space"/>
    <w:basedOn w:val="DefaultParagraphFont"/>
    <w:rsid w:val="009100D7"/>
  </w:style>
  <w:style w:type="character" w:styleId="Emphasis">
    <w:name w:val="Emphasis"/>
    <w:basedOn w:val="DefaultParagraphFont"/>
    <w:uiPriority w:val="20"/>
    <w:qFormat/>
    <w:rsid w:val="00910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871">
      <w:bodyDiv w:val="1"/>
      <w:marLeft w:val="0"/>
      <w:marRight w:val="0"/>
      <w:marTop w:val="0"/>
      <w:marBottom w:val="0"/>
      <w:divBdr>
        <w:top w:val="none" w:sz="0" w:space="0" w:color="auto"/>
        <w:left w:val="none" w:sz="0" w:space="0" w:color="auto"/>
        <w:bottom w:val="none" w:sz="0" w:space="0" w:color="auto"/>
        <w:right w:val="none" w:sz="0" w:space="0" w:color="auto"/>
      </w:divBdr>
    </w:div>
    <w:div w:id="110827638">
      <w:bodyDiv w:val="1"/>
      <w:marLeft w:val="0"/>
      <w:marRight w:val="0"/>
      <w:marTop w:val="0"/>
      <w:marBottom w:val="0"/>
      <w:divBdr>
        <w:top w:val="none" w:sz="0" w:space="0" w:color="auto"/>
        <w:left w:val="none" w:sz="0" w:space="0" w:color="auto"/>
        <w:bottom w:val="none" w:sz="0" w:space="0" w:color="auto"/>
        <w:right w:val="none" w:sz="0" w:space="0" w:color="auto"/>
      </w:divBdr>
    </w:div>
    <w:div w:id="114064364">
      <w:bodyDiv w:val="1"/>
      <w:marLeft w:val="0"/>
      <w:marRight w:val="0"/>
      <w:marTop w:val="0"/>
      <w:marBottom w:val="0"/>
      <w:divBdr>
        <w:top w:val="none" w:sz="0" w:space="0" w:color="auto"/>
        <w:left w:val="none" w:sz="0" w:space="0" w:color="auto"/>
        <w:bottom w:val="none" w:sz="0" w:space="0" w:color="auto"/>
        <w:right w:val="none" w:sz="0" w:space="0" w:color="auto"/>
      </w:divBdr>
      <w:divsChild>
        <w:div w:id="1684629668">
          <w:marLeft w:val="0"/>
          <w:marRight w:val="0"/>
          <w:marTop w:val="0"/>
          <w:marBottom w:val="0"/>
          <w:divBdr>
            <w:top w:val="none" w:sz="0" w:space="0" w:color="auto"/>
            <w:left w:val="none" w:sz="0" w:space="0" w:color="auto"/>
            <w:bottom w:val="none" w:sz="0" w:space="0" w:color="auto"/>
            <w:right w:val="none" w:sz="0" w:space="0" w:color="auto"/>
          </w:divBdr>
        </w:div>
      </w:divsChild>
    </w:div>
    <w:div w:id="132605668">
      <w:bodyDiv w:val="1"/>
      <w:marLeft w:val="0"/>
      <w:marRight w:val="0"/>
      <w:marTop w:val="0"/>
      <w:marBottom w:val="0"/>
      <w:divBdr>
        <w:top w:val="none" w:sz="0" w:space="0" w:color="auto"/>
        <w:left w:val="none" w:sz="0" w:space="0" w:color="auto"/>
        <w:bottom w:val="none" w:sz="0" w:space="0" w:color="auto"/>
        <w:right w:val="none" w:sz="0" w:space="0" w:color="auto"/>
      </w:divBdr>
    </w:div>
    <w:div w:id="167912399">
      <w:bodyDiv w:val="1"/>
      <w:marLeft w:val="0"/>
      <w:marRight w:val="0"/>
      <w:marTop w:val="0"/>
      <w:marBottom w:val="0"/>
      <w:divBdr>
        <w:top w:val="none" w:sz="0" w:space="0" w:color="auto"/>
        <w:left w:val="none" w:sz="0" w:space="0" w:color="auto"/>
        <w:bottom w:val="none" w:sz="0" w:space="0" w:color="auto"/>
        <w:right w:val="none" w:sz="0" w:space="0" w:color="auto"/>
      </w:divBdr>
    </w:div>
    <w:div w:id="201672773">
      <w:bodyDiv w:val="1"/>
      <w:marLeft w:val="0"/>
      <w:marRight w:val="0"/>
      <w:marTop w:val="0"/>
      <w:marBottom w:val="0"/>
      <w:divBdr>
        <w:top w:val="none" w:sz="0" w:space="0" w:color="auto"/>
        <w:left w:val="none" w:sz="0" w:space="0" w:color="auto"/>
        <w:bottom w:val="none" w:sz="0" w:space="0" w:color="auto"/>
        <w:right w:val="none" w:sz="0" w:space="0" w:color="auto"/>
      </w:divBdr>
    </w:div>
    <w:div w:id="248390940">
      <w:bodyDiv w:val="1"/>
      <w:marLeft w:val="0"/>
      <w:marRight w:val="0"/>
      <w:marTop w:val="0"/>
      <w:marBottom w:val="0"/>
      <w:divBdr>
        <w:top w:val="none" w:sz="0" w:space="0" w:color="auto"/>
        <w:left w:val="none" w:sz="0" w:space="0" w:color="auto"/>
        <w:bottom w:val="none" w:sz="0" w:space="0" w:color="auto"/>
        <w:right w:val="none" w:sz="0" w:space="0" w:color="auto"/>
      </w:divBdr>
    </w:div>
    <w:div w:id="384373205">
      <w:bodyDiv w:val="1"/>
      <w:marLeft w:val="0"/>
      <w:marRight w:val="0"/>
      <w:marTop w:val="0"/>
      <w:marBottom w:val="0"/>
      <w:divBdr>
        <w:top w:val="none" w:sz="0" w:space="0" w:color="auto"/>
        <w:left w:val="none" w:sz="0" w:space="0" w:color="auto"/>
        <w:bottom w:val="none" w:sz="0" w:space="0" w:color="auto"/>
        <w:right w:val="none" w:sz="0" w:space="0" w:color="auto"/>
      </w:divBdr>
    </w:div>
    <w:div w:id="422264114">
      <w:bodyDiv w:val="1"/>
      <w:marLeft w:val="0"/>
      <w:marRight w:val="0"/>
      <w:marTop w:val="0"/>
      <w:marBottom w:val="0"/>
      <w:divBdr>
        <w:top w:val="none" w:sz="0" w:space="0" w:color="auto"/>
        <w:left w:val="none" w:sz="0" w:space="0" w:color="auto"/>
        <w:bottom w:val="none" w:sz="0" w:space="0" w:color="auto"/>
        <w:right w:val="none" w:sz="0" w:space="0" w:color="auto"/>
      </w:divBdr>
    </w:div>
    <w:div w:id="673000629">
      <w:bodyDiv w:val="1"/>
      <w:marLeft w:val="0"/>
      <w:marRight w:val="0"/>
      <w:marTop w:val="0"/>
      <w:marBottom w:val="0"/>
      <w:divBdr>
        <w:top w:val="none" w:sz="0" w:space="0" w:color="auto"/>
        <w:left w:val="none" w:sz="0" w:space="0" w:color="auto"/>
        <w:bottom w:val="none" w:sz="0" w:space="0" w:color="auto"/>
        <w:right w:val="none" w:sz="0" w:space="0" w:color="auto"/>
      </w:divBdr>
    </w:div>
    <w:div w:id="703599945">
      <w:bodyDiv w:val="1"/>
      <w:marLeft w:val="0"/>
      <w:marRight w:val="0"/>
      <w:marTop w:val="0"/>
      <w:marBottom w:val="0"/>
      <w:divBdr>
        <w:top w:val="none" w:sz="0" w:space="0" w:color="auto"/>
        <w:left w:val="none" w:sz="0" w:space="0" w:color="auto"/>
        <w:bottom w:val="none" w:sz="0" w:space="0" w:color="auto"/>
        <w:right w:val="none" w:sz="0" w:space="0" w:color="auto"/>
      </w:divBdr>
    </w:div>
    <w:div w:id="803235025">
      <w:bodyDiv w:val="1"/>
      <w:marLeft w:val="0"/>
      <w:marRight w:val="0"/>
      <w:marTop w:val="0"/>
      <w:marBottom w:val="0"/>
      <w:divBdr>
        <w:top w:val="none" w:sz="0" w:space="0" w:color="auto"/>
        <w:left w:val="none" w:sz="0" w:space="0" w:color="auto"/>
        <w:bottom w:val="none" w:sz="0" w:space="0" w:color="auto"/>
        <w:right w:val="none" w:sz="0" w:space="0" w:color="auto"/>
      </w:divBdr>
    </w:div>
    <w:div w:id="811560117">
      <w:bodyDiv w:val="1"/>
      <w:marLeft w:val="0"/>
      <w:marRight w:val="0"/>
      <w:marTop w:val="0"/>
      <w:marBottom w:val="0"/>
      <w:divBdr>
        <w:top w:val="none" w:sz="0" w:space="0" w:color="auto"/>
        <w:left w:val="none" w:sz="0" w:space="0" w:color="auto"/>
        <w:bottom w:val="none" w:sz="0" w:space="0" w:color="auto"/>
        <w:right w:val="none" w:sz="0" w:space="0" w:color="auto"/>
      </w:divBdr>
    </w:div>
    <w:div w:id="958029721">
      <w:bodyDiv w:val="1"/>
      <w:marLeft w:val="0"/>
      <w:marRight w:val="0"/>
      <w:marTop w:val="0"/>
      <w:marBottom w:val="0"/>
      <w:divBdr>
        <w:top w:val="none" w:sz="0" w:space="0" w:color="auto"/>
        <w:left w:val="none" w:sz="0" w:space="0" w:color="auto"/>
        <w:bottom w:val="none" w:sz="0" w:space="0" w:color="auto"/>
        <w:right w:val="none" w:sz="0" w:space="0" w:color="auto"/>
      </w:divBdr>
    </w:div>
    <w:div w:id="1005942374">
      <w:bodyDiv w:val="1"/>
      <w:marLeft w:val="0"/>
      <w:marRight w:val="0"/>
      <w:marTop w:val="0"/>
      <w:marBottom w:val="0"/>
      <w:divBdr>
        <w:top w:val="none" w:sz="0" w:space="0" w:color="auto"/>
        <w:left w:val="none" w:sz="0" w:space="0" w:color="auto"/>
        <w:bottom w:val="none" w:sz="0" w:space="0" w:color="auto"/>
        <w:right w:val="none" w:sz="0" w:space="0" w:color="auto"/>
      </w:divBdr>
    </w:div>
    <w:div w:id="1055276031">
      <w:bodyDiv w:val="1"/>
      <w:marLeft w:val="0"/>
      <w:marRight w:val="0"/>
      <w:marTop w:val="0"/>
      <w:marBottom w:val="0"/>
      <w:divBdr>
        <w:top w:val="none" w:sz="0" w:space="0" w:color="auto"/>
        <w:left w:val="none" w:sz="0" w:space="0" w:color="auto"/>
        <w:bottom w:val="none" w:sz="0" w:space="0" w:color="auto"/>
        <w:right w:val="none" w:sz="0" w:space="0" w:color="auto"/>
      </w:divBdr>
    </w:div>
    <w:div w:id="1078483261">
      <w:bodyDiv w:val="1"/>
      <w:marLeft w:val="0"/>
      <w:marRight w:val="0"/>
      <w:marTop w:val="0"/>
      <w:marBottom w:val="0"/>
      <w:divBdr>
        <w:top w:val="none" w:sz="0" w:space="0" w:color="auto"/>
        <w:left w:val="none" w:sz="0" w:space="0" w:color="auto"/>
        <w:bottom w:val="none" w:sz="0" w:space="0" w:color="auto"/>
        <w:right w:val="none" w:sz="0" w:space="0" w:color="auto"/>
      </w:divBdr>
    </w:div>
    <w:div w:id="1134831257">
      <w:bodyDiv w:val="1"/>
      <w:marLeft w:val="0"/>
      <w:marRight w:val="0"/>
      <w:marTop w:val="0"/>
      <w:marBottom w:val="0"/>
      <w:divBdr>
        <w:top w:val="none" w:sz="0" w:space="0" w:color="auto"/>
        <w:left w:val="none" w:sz="0" w:space="0" w:color="auto"/>
        <w:bottom w:val="none" w:sz="0" w:space="0" w:color="auto"/>
        <w:right w:val="none" w:sz="0" w:space="0" w:color="auto"/>
      </w:divBdr>
    </w:div>
    <w:div w:id="1253126640">
      <w:bodyDiv w:val="1"/>
      <w:marLeft w:val="0"/>
      <w:marRight w:val="0"/>
      <w:marTop w:val="0"/>
      <w:marBottom w:val="0"/>
      <w:divBdr>
        <w:top w:val="none" w:sz="0" w:space="0" w:color="auto"/>
        <w:left w:val="none" w:sz="0" w:space="0" w:color="auto"/>
        <w:bottom w:val="none" w:sz="0" w:space="0" w:color="auto"/>
        <w:right w:val="none" w:sz="0" w:space="0" w:color="auto"/>
      </w:divBdr>
      <w:divsChild>
        <w:div w:id="1932926883">
          <w:marLeft w:val="0"/>
          <w:marRight w:val="0"/>
          <w:marTop w:val="0"/>
          <w:marBottom w:val="0"/>
          <w:divBdr>
            <w:top w:val="none" w:sz="0" w:space="0" w:color="auto"/>
            <w:left w:val="none" w:sz="0" w:space="0" w:color="auto"/>
            <w:bottom w:val="none" w:sz="0" w:space="0" w:color="auto"/>
            <w:right w:val="none" w:sz="0" w:space="0" w:color="auto"/>
          </w:divBdr>
        </w:div>
      </w:divsChild>
    </w:div>
    <w:div w:id="1393189990">
      <w:bodyDiv w:val="1"/>
      <w:marLeft w:val="0"/>
      <w:marRight w:val="0"/>
      <w:marTop w:val="0"/>
      <w:marBottom w:val="0"/>
      <w:divBdr>
        <w:top w:val="none" w:sz="0" w:space="0" w:color="auto"/>
        <w:left w:val="none" w:sz="0" w:space="0" w:color="auto"/>
        <w:bottom w:val="none" w:sz="0" w:space="0" w:color="auto"/>
        <w:right w:val="none" w:sz="0" w:space="0" w:color="auto"/>
      </w:divBdr>
    </w:div>
    <w:div w:id="1399790097">
      <w:bodyDiv w:val="1"/>
      <w:marLeft w:val="0"/>
      <w:marRight w:val="0"/>
      <w:marTop w:val="0"/>
      <w:marBottom w:val="0"/>
      <w:divBdr>
        <w:top w:val="none" w:sz="0" w:space="0" w:color="auto"/>
        <w:left w:val="none" w:sz="0" w:space="0" w:color="auto"/>
        <w:bottom w:val="none" w:sz="0" w:space="0" w:color="auto"/>
        <w:right w:val="none" w:sz="0" w:space="0" w:color="auto"/>
      </w:divBdr>
      <w:divsChild>
        <w:div w:id="2094861382">
          <w:marLeft w:val="0"/>
          <w:marRight w:val="0"/>
          <w:marTop w:val="0"/>
          <w:marBottom w:val="0"/>
          <w:divBdr>
            <w:top w:val="none" w:sz="0" w:space="0" w:color="auto"/>
            <w:left w:val="none" w:sz="0" w:space="0" w:color="auto"/>
            <w:bottom w:val="none" w:sz="0" w:space="0" w:color="auto"/>
            <w:right w:val="none" w:sz="0" w:space="0" w:color="auto"/>
          </w:divBdr>
        </w:div>
      </w:divsChild>
    </w:div>
    <w:div w:id="1453480913">
      <w:bodyDiv w:val="1"/>
      <w:marLeft w:val="0"/>
      <w:marRight w:val="0"/>
      <w:marTop w:val="0"/>
      <w:marBottom w:val="0"/>
      <w:divBdr>
        <w:top w:val="none" w:sz="0" w:space="0" w:color="auto"/>
        <w:left w:val="none" w:sz="0" w:space="0" w:color="auto"/>
        <w:bottom w:val="none" w:sz="0" w:space="0" w:color="auto"/>
        <w:right w:val="none" w:sz="0" w:space="0" w:color="auto"/>
      </w:divBdr>
    </w:div>
    <w:div w:id="1517887907">
      <w:bodyDiv w:val="1"/>
      <w:marLeft w:val="0"/>
      <w:marRight w:val="0"/>
      <w:marTop w:val="0"/>
      <w:marBottom w:val="0"/>
      <w:divBdr>
        <w:top w:val="none" w:sz="0" w:space="0" w:color="auto"/>
        <w:left w:val="none" w:sz="0" w:space="0" w:color="auto"/>
        <w:bottom w:val="none" w:sz="0" w:space="0" w:color="auto"/>
        <w:right w:val="none" w:sz="0" w:space="0" w:color="auto"/>
      </w:divBdr>
    </w:div>
    <w:div w:id="1699164705">
      <w:bodyDiv w:val="1"/>
      <w:marLeft w:val="0"/>
      <w:marRight w:val="0"/>
      <w:marTop w:val="0"/>
      <w:marBottom w:val="0"/>
      <w:divBdr>
        <w:top w:val="none" w:sz="0" w:space="0" w:color="auto"/>
        <w:left w:val="none" w:sz="0" w:space="0" w:color="auto"/>
        <w:bottom w:val="none" w:sz="0" w:space="0" w:color="auto"/>
        <w:right w:val="none" w:sz="0" w:space="0" w:color="auto"/>
      </w:divBdr>
    </w:div>
    <w:div w:id="1775394077">
      <w:bodyDiv w:val="1"/>
      <w:marLeft w:val="0"/>
      <w:marRight w:val="0"/>
      <w:marTop w:val="0"/>
      <w:marBottom w:val="0"/>
      <w:divBdr>
        <w:top w:val="none" w:sz="0" w:space="0" w:color="auto"/>
        <w:left w:val="none" w:sz="0" w:space="0" w:color="auto"/>
        <w:bottom w:val="none" w:sz="0" w:space="0" w:color="auto"/>
        <w:right w:val="none" w:sz="0" w:space="0" w:color="auto"/>
      </w:divBdr>
    </w:div>
    <w:div w:id="1794522173">
      <w:bodyDiv w:val="1"/>
      <w:marLeft w:val="0"/>
      <w:marRight w:val="0"/>
      <w:marTop w:val="0"/>
      <w:marBottom w:val="0"/>
      <w:divBdr>
        <w:top w:val="none" w:sz="0" w:space="0" w:color="auto"/>
        <w:left w:val="none" w:sz="0" w:space="0" w:color="auto"/>
        <w:bottom w:val="none" w:sz="0" w:space="0" w:color="auto"/>
        <w:right w:val="none" w:sz="0" w:space="0" w:color="auto"/>
      </w:divBdr>
    </w:div>
    <w:div w:id="214161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ing1@udayto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rsa.net/nirsa/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Hoying</dc:creator>
  <cp:lastModifiedBy>Kristal Fehring</cp:lastModifiedBy>
  <cp:revision>2</cp:revision>
  <cp:lastPrinted>2015-07-22T02:38:00Z</cp:lastPrinted>
  <dcterms:created xsi:type="dcterms:W3CDTF">2015-07-31T23:40:00Z</dcterms:created>
  <dcterms:modified xsi:type="dcterms:W3CDTF">2015-07-31T23:40:00Z</dcterms:modified>
</cp:coreProperties>
</file>